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ascii="黑体" w:hAnsi="黑体" w:eastAsia="黑体" w:cs="黑体"/>
          <w:sz w:val="32"/>
          <w:szCs w:val="32"/>
        </w:rPr>
      </w:pPr>
      <w:r>
        <w:rPr>
          <w:rFonts w:hint="eastAsia" w:ascii="黑体" w:hAnsi="黑体" w:eastAsia="黑体" w:cs="黑体"/>
          <w:sz w:val="32"/>
          <w:szCs w:val="32"/>
        </w:rPr>
        <w:t>附件7</w:t>
      </w:r>
    </w:p>
    <w:p>
      <w:pPr>
        <w:spacing w:line="590" w:lineRule="exact"/>
        <w:jc w:val="center"/>
        <w:rPr>
          <w:rFonts w:hint="eastAsia" w:ascii="方正小标宋简体" w:hAnsi="方正小标宋简体" w:eastAsia="方正小标宋简体" w:cs="方正小标宋简体"/>
          <w:sz w:val="44"/>
          <w:szCs w:val="44"/>
        </w:rPr>
      </w:pPr>
    </w:p>
    <w:p>
      <w:pPr>
        <w:spacing w:line="59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基层高级卫生专业技术职务任职资格面试</w:t>
      </w:r>
    </w:p>
    <w:p>
      <w:pPr>
        <w:spacing w:line="59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人员提交的病案或专题报告的具体要求</w:t>
      </w:r>
    </w:p>
    <w:p>
      <w:pPr>
        <w:spacing w:line="590" w:lineRule="exact"/>
        <w:ind w:firstLine="600" w:firstLineChars="200"/>
        <w:rPr>
          <w:rFonts w:hint="eastAsia" w:ascii="仿宋_GB2312" w:eastAsia="仿宋_GB2312"/>
          <w:sz w:val="30"/>
          <w:szCs w:val="30"/>
        </w:rPr>
      </w:pPr>
    </w:p>
    <w:p>
      <w:pPr>
        <w:spacing w:line="59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所有申报基层高级职务任职资格评审的人员，均须参加业务面试。申报人员需从任期内各年度主治病案或专题报告中选出五篇参加面试。</w:t>
      </w:r>
      <w:r>
        <w:rPr>
          <w:rFonts w:hint="eastAsia" w:ascii="仿宋_GB2312" w:hAnsi="仿宋_GB2312" w:eastAsia="仿宋_GB2312"/>
          <w:sz w:val="32"/>
          <w:szCs w:val="32"/>
        </w:rPr>
        <w:cr/>
      </w:r>
      <w:r>
        <w:rPr>
          <w:rFonts w:hint="eastAsia" w:ascii="仿宋_GB2312" w:hAnsi="仿宋_GB2312" w:eastAsia="仿宋_GB2312"/>
          <w:sz w:val="32"/>
          <w:szCs w:val="32"/>
        </w:rPr>
        <w:t xml:space="preserve">    病案或专题报告是反映申报人员在任现职期间业务工作能力或解决本专业疑难复杂问题的最高业务水平的书面报告，不是一篇论文，也不是综述。字数一般不少于</w:t>
      </w:r>
      <w:r>
        <w:rPr>
          <w:rFonts w:ascii="仿宋_GB2312" w:hAnsi="仿宋_GB2312" w:eastAsia="仿宋_GB2312"/>
          <w:sz w:val="32"/>
          <w:szCs w:val="32"/>
        </w:rPr>
        <w:t>1200</w:t>
      </w:r>
      <w:r>
        <w:rPr>
          <w:rFonts w:hint="eastAsia" w:ascii="仿宋_GB2312" w:hAnsi="仿宋_GB2312" w:eastAsia="仿宋_GB2312"/>
          <w:sz w:val="32"/>
          <w:szCs w:val="32"/>
        </w:rPr>
        <w:t>字。</w:t>
      </w:r>
      <w:r>
        <w:rPr>
          <w:rFonts w:hint="eastAsia" w:ascii="仿宋_GB2312" w:hAnsi="仿宋_GB2312" w:eastAsia="仿宋_GB2312"/>
          <w:sz w:val="32"/>
          <w:szCs w:val="32"/>
        </w:rPr>
        <w:cr/>
      </w:r>
      <w:r>
        <w:rPr>
          <w:rFonts w:hint="eastAsia" w:ascii="仿宋_GB2312" w:hAnsi="仿宋_GB2312" w:eastAsia="仿宋_GB2312"/>
          <w:sz w:val="32"/>
          <w:szCs w:val="32"/>
        </w:rPr>
        <w:t xml:space="preserve">   </w:t>
      </w:r>
      <w:r>
        <w:rPr>
          <w:rFonts w:hint="eastAsia" w:ascii="仿宋_GB2312" w:hAnsi="仿宋_GB2312" w:eastAsia="黑体"/>
          <w:sz w:val="32"/>
          <w:szCs w:val="32"/>
        </w:rPr>
        <w:t xml:space="preserve"> 一、设病床的临床科室的申报人员</w:t>
      </w:r>
      <w:r>
        <w:rPr>
          <w:rFonts w:hint="eastAsia" w:ascii="仿宋_GB2312" w:hAnsi="仿宋_GB2312" w:eastAsia="黑体"/>
          <w:sz w:val="32"/>
          <w:szCs w:val="32"/>
        </w:rPr>
        <w:cr/>
      </w:r>
      <w:r>
        <w:rPr>
          <w:rFonts w:hint="eastAsia" w:ascii="仿宋_GB2312" w:hAnsi="仿宋_GB2312" w:eastAsia="仿宋_GB2312"/>
          <w:sz w:val="32"/>
          <w:szCs w:val="32"/>
        </w:rPr>
        <w:t xml:space="preserve">    须提交任现职以来本人主治的病案及相应的专题报告五篇。</w:t>
      </w:r>
      <w:r>
        <w:rPr>
          <w:rFonts w:hint="eastAsia" w:ascii="仿宋_GB2312" w:hAnsi="仿宋_GB2312" w:eastAsia="仿宋_GB2312"/>
          <w:sz w:val="32"/>
          <w:szCs w:val="32"/>
        </w:rPr>
        <w:cr/>
      </w:r>
      <w:r>
        <w:rPr>
          <w:rFonts w:hint="eastAsia" w:ascii="仿宋_GB2312" w:hAnsi="仿宋_GB2312" w:eastAsia="仿宋_GB2312"/>
          <w:sz w:val="32"/>
          <w:szCs w:val="32"/>
        </w:rPr>
        <w:t xml:space="preserve">    </w:t>
      </w:r>
      <w:r>
        <w:rPr>
          <w:rFonts w:ascii="仿宋_GB2312" w:hAnsi="仿宋_GB2312" w:eastAsia="仿宋_GB2312"/>
          <w:sz w:val="32"/>
          <w:szCs w:val="32"/>
        </w:rPr>
        <w:t>1.</w:t>
      </w:r>
      <w:r>
        <w:rPr>
          <w:rFonts w:hint="eastAsia" w:ascii="仿宋_GB2312" w:hAnsi="仿宋_GB2312" w:eastAsia="仿宋_GB2312"/>
          <w:b/>
          <w:sz w:val="32"/>
          <w:szCs w:val="32"/>
        </w:rPr>
        <w:t xml:space="preserve"> 病案：</w:t>
      </w:r>
      <w:r>
        <w:rPr>
          <w:rFonts w:hint="eastAsia" w:ascii="仿宋_GB2312" w:hAnsi="仿宋_GB2312" w:eastAsia="仿宋_GB2312"/>
          <w:sz w:val="32"/>
          <w:szCs w:val="32"/>
        </w:rPr>
        <w:t xml:space="preserve">须为原始材料复印件，符合《病案书写规范》和医疗核心制度要求，体现医务人员职级职责及申报者业务分析水平和实际工作能力，有查房、分析、修改和签字等内容（外科手术病案需有术前讨论、术中记录、术后查房）。并对整个病历书写的规范性进行把关。 </w:t>
      </w:r>
      <w:r>
        <w:rPr>
          <w:rFonts w:hint="eastAsia" w:ascii="仿宋_GB2312" w:hAnsi="仿宋_GB2312" w:eastAsia="仿宋_GB2312"/>
          <w:sz w:val="32"/>
          <w:szCs w:val="32"/>
        </w:rPr>
        <w:cr/>
      </w:r>
      <w:r>
        <w:rPr>
          <w:rFonts w:hint="eastAsia" w:ascii="仿宋_GB2312" w:hAnsi="仿宋_GB2312" w:eastAsia="仿宋_GB2312"/>
          <w:sz w:val="32"/>
          <w:szCs w:val="32"/>
        </w:rPr>
        <w:t xml:space="preserve">    </w:t>
      </w:r>
      <w:r>
        <w:rPr>
          <w:rFonts w:ascii="仿宋_GB2312" w:hAnsi="仿宋_GB2312" w:eastAsia="仿宋_GB2312"/>
          <w:sz w:val="32"/>
          <w:szCs w:val="32"/>
        </w:rPr>
        <w:t>2.</w:t>
      </w:r>
      <w:r>
        <w:rPr>
          <w:rFonts w:hint="eastAsia" w:ascii="仿宋_GB2312" w:hAnsi="仿宋_GB2312" w:eastAsia="仿宋_GB2312"/>
          <w:sz w:val="32"/>
          <w:szCs w:val="32"/>
        </w:rPr>
        <w:t xml:space="preserve"> </w:t>
      </w:r>
      <w:r>
        <w:rPr>
          <w:rFonts w:hint="eastAsia" w:ascii="仿宋_GB2312" w:hAnsi="仿宋_GB2312" w:eastAsia="仿宋_GB2312"/>
          <w:b/>
          <w:sz w:val="32"/>
          <w:szCs w:val="32"/>
        </w:rPr>
        <w:t>专题报告：</w:t>
      </w:r>
      <w:r>
        <w:rPr>
          <w:rFonts w:hint="eastAsia" w:ascii="仿宋_GB2312" w:hAnsi="仿宋_GB2312" w:eastAsia="仿宋_GB2312"/>
          <w:sz w:val="32"/>
          <w:szCs w:val="32"/>
        </w:rPr>
        <w:t>对应每一份的病案均需提交一份专题报告。专题报告包括案例基本概况、诊断及治疗的分析思路、处置心得体会或经验分享，也可结合和引用国内外该专业技术领域或此类病案特点的诊治经验或最新研究进行分析、讨论、总结。</w:t>
      </w:r>
      <w:r>
        <w:rPr>
          <w:rFonts w:hint="eastAsia" w:ascii="仿宋_GB2312" w:hAnsi="仿宋_GB2312" w:eastAsia="仿宋_GB2312"/>
          <w:sz w:val="32"/>
          <w:szCs w:val="32"/>
        </w:rPr>
        <w:cr/>
      </w:r>
      <w:r>
        <w:rPr>
          <w:rFonts w:hint="eastAsia" w:ascii="仿宋_GB2312" w:hAnsi="仿宋_GB2312" w:eastAsia="仿宋_GB2312"/>
          <w:sz w:val="32"/>
          <w:szCs w:val="32"/>
        </w:rPr>
        <w:t xml:space="preserve">    </w:t>
      </w:r>
      <w:r>
        <w:rPr>
          <w:rFonts w:hint="eastAsia" w:ascii="仿宋_GB2312" w:hAnsi="仿宋_GB2312" w:eastAsia="黑体"/>
          <w:sz w:val="32"/>
          <w:szCs w:val="32"/>
        </w:rPr>
        <w:t>二、不设病床的临床科室的申报人员及其他申报（药、护、技）人员</w:t>
      </w:r>
      <w:r>
        <w:rPr>
          <w:rFonts w:hint="eastAsia" w:ascii="仿宋_GB2312" w:hAnsi="仿宋_GB2312" w:eastAsia="黑体"/>
          <w:sz w:val="32"/>
          <w:szCs w:val="32"/>
        </w:rPr>
        <w:cr/>
      </w:r>
      <w:r>
        <w:rPr>
          <w:rFonts w:hint="eastAsia" w:ascii="仿宋_GB2312" w:hAnsi="仿宋_GB2312" w:eastAsia="仿宋_GB2312"/>
          <w:sz w:val="32"/>
          <w:szCs w:val="32"/>
        </w:rPr>
        <w:t xml:space="preserve">    须提交反映本人专业技术工作能力与水平或在实际工作中解决本专业复杂疑难问题的专题报告五篇。</w:t>
      </w:r>
      <w:r>
        <w:rPr>
          <w:rFonts w:hint="eastAsia" w:ascii="仿宋_GB2312" w:hAnsi="仿宋_GB2312" w:eastAsia="仿宋_GB2312"/>
          <w:sz w:val="32"/>
          <w:szCs w:val="32"/>
        </w:rPr>
        <w:cr/>
      </w:r>
      <w:r>
        <w:rPr>
          <w:rFonts w:hint="eastAsia" w:ascii="仿宋_GB2312" w:hAnsi="仿宋_GB2312" w:eastAsia="仿宋_GB2312"/>
          <w:sz w:val="32"/>
          <w:szCs w:val="32"/>
        </w:rPr>
        <w:t xml:space="preserve">    专题报告内容包括任现职期间开展本专业的业务工作或解决本专业的病例、实验、诊断、现场（流行病学）调查、药物调剂等方面的综合或专项分析，结合国内外同行该专业技术领域的先进技术和经验做法进行分析、讨论，形成经验分享和心得体会。引用的参考文献要规范，应是在正式医学刊物上发表的医学文章，或在正规医学出版社出版的医学著作。专题报告须包括材料、方法、结果和讨论等内容，并附上相关材料。 </w:t>
      </w:r>
    </w:p>
    <w:p>
      <w:pPr>
        <w:spacing w:line="590" w:lineRule="exact"/>
        <w:rPr>
          <w:rFonts w:hint="eastAsia" w:ascii="仿宋_GB2312" w:hAnsi="仿宋_GB2312" w:eastAsia="仿宋_GB2312"/>
          <w:sz w:val="32"/>
          <w:szCs w:val="32"/>
        </w:rPr>
      </w:pPr>
    </w:p>
    <w:p>
      <w:bookmarkStart w:id="0" w:name="_GoBack"/>
      <w:bookmarkEnd w:id="0"/>
    </w:p>
    <w:sectPr>
      <w:headerReference r:id="rId3" w:type="default"/>
      <w:footerReference r:id="rId4" w:type="default"/>
      <w:footerReference r:id="rId5" w:type="even"/>
      <w:pgSz w:w="11906" w:h="16838"/>
      <w:pgMar w:top="1814" w:right="1474" w:bottom="1701" w:left="1588" w:header="851" w:footer="1588" w:gutter="0"/>
      <w:pgNumType w:fmt="decimal"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170972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2022-05-18T01:59:38Z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4906EA8BC6744865BC3302AEB219616F</vt:lpwstr>
  </property>
</Properties>
</file>