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20" w:lineRule="exact"/>
        <w:jc w:val="center"/>
        <w:rPr>
          <w:rFonts w:hint="eastAsia" w:ascii="方正小标宋简体" w:hAnsi="方正小标宋简体" w:eastAsia="方正小标宋简体" w:cs="方正小标宋简体"/>
          <w:sz w:val="44"/>
          <w:szCs w:val="44"/>
        </w:rPr>
      </w:pPr>
    </w:p>
    <w:p>
      <w:pPr>
        <w:adjustRightInd w:val="0"/>
        <w:snapToGrid w:val="0"/>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福建省省属医疗卫生机构医疗设备</w:t>
      </w:r>
    </w:p>
    <w:p>
      <w:pPr>
        <w:adjustRightInd w:val="0"/>
        <w:snapToGrid w:val="0"/>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采购管理办法</w:t>
      </w:r>
    </w:p>
    <w:p>
      <w:pPr>
        <w:adjustRightInd w:val="0"/>
        <w:snapToGrid w:val="0"/>
        <w:spacing w:line="620" w:lineRule="exact"/>
        <w:jc w:val="center"/>
        <w:rPr>
          <w:rFonts w:hint="eastAsia" w:ascii="方正仿宋简体" w:eastAsia="方正仿宋简体"/>
          <w:sz w:val="32"/>
          <w:szCs w:val="32"/>
        </w:rPr>
      </w:pPr>
      <w:r>
        <w:rPr>
          <w:rFonts w:hint="eastAsia" w:ascii="方正仿宋简体" w:eastAsia="方正仿宋简体"/>
          <w:sz w:val="32"/>
          <w:szCs w:val="32"/>
        </w:rPr>
        <w:t>（试行）</w:t>
      </w:r>
    </w:p>
    <w:p>
      <w:pPr>
        <w:adjustRightInd w:val="0"/>
        <w:snapToGrid w:val="0"/>
        <w:spacing w:line="620" w:lineRule="exact"/>
        <w:rPr>
          <w:rFonts w:hint="eastAsia" w:ascii="方正仿宋简体" w:eastAsia="方正仿宋简体"/>
          <w:sz w:val="32"/>
          <w:szCs w:val="32"/>
        </w:rPr>
      </w:pPr>
    </w:p>
    <w:p>
      <w:pPr>
        <w:adjustRightInd w:val="0"/>
        <w:snapToGrid w:val="0"/>
        <w:spacing w:line="620" w:lineRule="exact"/>
        <w:jc w:val="center"/>
        <w:rPr>
          <w:rFonts w:hint="eastAsia" w:ascii="方正黑体简体" w:hAnsi="方正黑体简体" w:eastAsia="方正黑体简体" w:cs="方正黑体简体"/>
          <w:bCs/>
          <w:sz w:val="32"/>
          <w:szCs w:val="32"/>
        </w:rPr>
      </w:pPr>
      <w:r>
        <w:rPr>
          <w:rFonts w:hint="eastAsia" w:ascii="方正黑体简体" w:hAnsi="方正黑体简体" w:eastAsia="方正黑体简体" w:cs="方正黑体简体"/>
          <w:bCs/>
          <w:sz w:val="32"/>
          <w:szCs w:val="32"/>
        </w:rPr>
        <w:t>第一章  总则</w:t>
      </w:r>
    </w:p>
    <w:p>
      <w:pPr>
        <w:adjustRightInd w:val="0"/>
        <w:snapToGrid w:val="0"/>
        <w:spacing w:line="620" w:lineRule="exact"/>
        <w:ind w:firstLine="640" w:firstLineChars="200"/>
        <w:rPr>
          <w:rFonts w:eastAsia="方正仿宋简体"/>
          <w:sz w:val="32"/>
          <w:szCs w:val="32"/>
        </w:rPr>
      </w:pPr>
      <w:r>
        <w:rPr>
          <w:rFonts w:eastAsia="方正仿宋简体"/>
          <w:sz w:val="32"/>
          <w:szCs w:val="32"/>
        </w:rPr>
        <w:t xml:space="preserve">第一条 </w:t>
      </w:r>
      <w:r>
        <w:rPr>
          <w:rFonts w:hint="eastAsia" w:eastAsia="方正仿宋简体"/>
          <w:sz w:val="32"/>
          <w:szCs w:val="32"/>
        </w:rPr>
        <w:t xml:space="preserve"> </w:t>
      </w:r>
      <w:r>
        <w:rPr>
          <w:rFonts w:eastAsia="方正仿宋简体"/>
          <w:sz w:val="32"/>
          <w:szCs w:val="32"/>
        </w:rPr>
        <w:t>为加强医疗设备采购管理，规范医疗设备采购行为，根据《中华人民共和国政府采购法》《中华人民共和国政府采购法实施条例》等相关法律法规，结合医疗设备采购的实际情况，制定本办法。</w:t>
      </w:r>
    </w:p>
    <w:p>
      <w:pPr>
        <w:adjustRightInd w:val="0"/>
        <w:snapToGrid w:val="0"/>
        <w:spacing w:line="620" w:lineRule="exact"/>
        <w:rPr>
          <w:rFonts w:eastAsia="方正仿宋简体"/>
          <w:sz w:val="32"/>
          <w:szCs w:val="32"/>
        </w:rPr>
      </w:pPr>
      <w:r>
        <w:rPr>
          <w:rFonts w:eastAsia="方正仿宋简体"/>
          <w:sz w:val="32"/>
          <w:szCs w:val="32"/>
        </w:rPr>
        <w:t>　  第二条  医疗</w:t>
      </w:r>
      <w:r>
        <w:rPr>
          <w:rFonts w:hint="eastAsia" w:eastAsia="方正仿宋简体"/>
          <w:sz w:val="32"/>
          <w:szCs w:val="32"/>
        </w:rPr>
        <w:t>卫生</w:t>
      </w:r>
      <w:r>
        <w:rPr>
          <w:rFonts w:eastAsia="方正仿宋简体"/>
          <w:sz w:val="32"/>
          <w:szCs w:val="32"/>
        </w:rPr>
        <w:t>机构设备采购活动应遵循公开透明、公平竞争、公正诚信的原则，并不断健全采购管理制度，完善采购操作规范。医疗卫生机构纪检监察部门、财务审计部门应加强对采购活动的监督。</w:t>
      </w:r>
    </w:p>
    <w:p>
      <w:pPr>
        <w:adjustRightInd w:val="0"/>
        <w:snapToGrid w:val="0"/>
        <w:spacing w:line="620" w:lineRule="exact"/>
        <w:ind w:firstLine="640" w:firstLineChars="200"/>
        <w:rPr>
          <w:rFonts w:eastAsia="方正仿宋简体"/>
          <w:sz w:val="32"/>
          <w:szCs w:val="32"/>
        </w:rPr>
      </w:pPr>
      <w:r>
        <w:rPr>
          <w:rFonts w:eastAsia="方正仿宋简体"/>
          <w:sz w:val="32"/>
          <w:szCs w:val="32"/>
        </w:rPr>
        <w:t xml:space="preserve">第三条 </w:t>
      </w:r>
      <w:r>
        <w:rPr>
          <w:rFonts w:hint="eastAsia" w:eastAsia="方正仿宋简体"/>
          <w:sz w:val="32"/>
          <w:szCs w:val="32"/>
        </w:rPr>
        <w:t xml:space="preserve"> </w:t>
      </w:r>
      <w:r>
        <w:rPr>
          <w:rFonts w:eastAsia="方正仿宋简体"/>
          <w:sz w:val="32"/>
          <w:szCs w:val="32"/>
        </w:rPr>
        <w:t>医疗</w:t>
      </w:r>
      <w:r>
        <w:rPr>
          <w:rFonts w:hint="eastAsia" w:eastAsia="方正仿宋简体"/>
          <w:sz w:val="32"/>
          <w:szCs w:val="32"/>
        </w:rPr>
        <w:t>卫生</w:t>
      </w:r>
      <w:r>
        <w:rPr>
          <w:rFonts w:eastAsia="方正仿宋简体"/>
          <w:sz w:val="32"/>
          <w:szCs w:val="32"/>
        </w:rPr>
        <w:t>机构作为采购主体，要建立健全医疗设备</w:t>
      </w:r>
      <w:bookmarkStart w:id="0" w:name="_GoBack"/>
      <w:bookmarkEnd w:id="0"/>
      <w:r>
        <w:rPr>
          <w:rFonts w:eastAsia="方正仿宋简体"/>
          <w:sz w:val="32"/>
          <w:szCs w:val="32"/>
        </w:rPr>
        <w:t>采购管理组织和制度；规范组织实施医疗设备采购活动。　</w:t>
      </w:r>
    </w:p>
    <w:p>
      <w:pPr>
        <w:adjustRightInd w:val="0"/>
        <w:snapToGrid w:val="0"/>
        <w:spacing w:line="620" w:lineRule="exact"/>
        <w:ind w:firstLine="640" w:firstLineChars="200"/>
        <w:rPr>
          <w:rFonts w:eastAsia="方正仿宋简体"/>
          <w:sz w:val="32"/>
          <w:szCs w:val="32"/>
        </w:rPr>
      </w:pPr>
      <w:r>
        <w:rPr>
          <w:rFonts w:eastAsia="方正仿宋简体"/>
          <w:sz w:val="32"/>
          <w:szCs w:val="32"/>
        </w:rPr>
        <w:t xml:space="preserve">第四条 </w:t>
      </w:r>
      <w:r>
        <w:rPr>
          <w:rFonts w:hint="eastAsia" w:eastAsia="方正仿宋简体"/>
          <w:sz w:val="32"/>
          <w:szCs w:val="32"/>
        </w:rPr>
        <w:t xml:space="preserve"> </w:t>
      </w:r>
      <w:r>
        <w:rPr>
          <w:rFonts w:eastAsia="方正仿宋简体"/>
          <w:sz w:val="32"/>
          <w:szCs w:val="32"/>
        </w:rPr>
        <w:t>本办法适用于本委</w:t>
      </w:r>
      <w:r>
        <w:rPr>
          <w:rFonts w:hint="eastAsia" w:eastAsia="方正仿宋简体"/>
          <w:sz w:val="32"/>
          <w:szCs w:val="32"/>
        </w:rPr>
        <w:t>所属医疗卫生机构</w:t>
      </w:r>
      <w:r>
        <w:rPr>
          <w:rFonts w:eastAsia="方正仿宋简体"/>
          <w:sz w:val="32"/>
          <w:szCs w:val="32"/>
        </w:rPr>
        <w:t>。</w:t>
      </w:r>
    </w:p>
    <w:p>
      <w:pPr>
        <w:adjustRightInd w:val="0"/>
        <w:snapToGrid w:val="0"/>
        <w:spacing w:line="620" w:lineRule="exact"/>
        <w:jc w:val="center"/>
        <w:rPr>
          <w:rFonts w:eastAsia="方正黑体简体"/>
          <w:bCs/>
          <w:sz w:val="32"/>
          <w:szCs w:val="32"/>
        </w:rPr>
      </w:pPr>
      <w:r>
        <w:rPr>
          <w:rFonts w:eastAsia="方正黑体简体"/>
          <w:bCs/>
          <w:sz w:val="32"/>
          <w:szCs w:val="32"/>
        </w:rPr>
        <w:t>第二章  采购计划管理</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第五条 医疗</w:t>
      </w:r>
      <w:r>
        <w:rPr>
          <w:rFonts w:hint="eastAsia" w:eastAsia="方正仿宋简体"/>
          <w:sz w:val="32"/>
          <w:szCs w:val="32"/>
        </w:rPr>
        <w:t>卫生</w:t>
      </w:r>
      <w:r>
        <w:rPr>
          <w:rFonts w:eastAsia="方正仿宋简体"/>
          <w:sz w:val="32"/>
          <w:szCs w:val="32"/>
        </w:rPr>
        <w:t>机构应根据工作需求，在充分论证的基础上，合理编制医疗设备年度采购计划，做到应编尽编，并经医院院务会审议通过后，列入年度</w:t>
      </w:r>
      <w:r>
        <w:rPr>
          <w:rFonts w:hint="eastAsia" w:eastAsia="方正仿宋简体"/>
          <w:sz w:val="32"/>
          <w:szCs w:val="32"/>
        </w:rPr>
        <w:t>政府采购</w:t>
      </w:r>
      <w:r>
        <w:rPr>
          <w:rFonts w:eastAsia="方正仿宋简体"/>
          <w:sz w:val="32"/>
          <w:szCs w:val="32"/>
        </w:rPr>
        <w:t>预算。</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第六条 医疗</w:t>
      </w:r>
      <w:r>
        <w:rPr>
          <w:rFonts w:hint="eastAsia" w:eastAsia="方正仿宋简体"/>
          <w:sz w:val="32"/>
          <w:szCs w:val="32"/>
        </w:rPr>
        <w:t>卫生</w:t>
      </w:r>
      <w:r>
        <w:rPr>
          <w:rFonts w:eastAsia="方正仿宋简体"/>
          <w:sz w:val="32"/>
          <w:szCs w:val="32"/>
        </w:rPr>
        <w:t>机构医疗设备</w:t>
      </w:r>
      <w:r>
        <w:rPr>
          <w:rFonts w:hint="eastAsia" w:eastAsia="方正仿宋简体"/>
          <w:sz w:val="32"/>
          <w:szCs w:val="32"/>
        </w:rPr>
        <w:t>政府</w:t>
      </w:r>
      <w:r>
        <w:rPr>
          <w:rFonts w:eastAsia="方正仿宋简体"/>
          <w:sz w:val="32"/>
          <w:szCs w:val="32"/>
        </w:rPr>
        <w:t>采购年度预算，须经卫生计生行政部门和财政部门审核审批后方可组织采购，不得组织无政府采购预算的采购活动。未编制采购预算的或涉及调整采购预算的项目，在预算执行过程中，应按照相关规定办理预算追加或调整预算。</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第七条 医疗机构采购甲、乙类大型医用设备应按《大型医用设备配置与使用管理办法》（卫规财发〔2004〕474号）规定，取得配置许可后，方可实施采购。</w:t>
      </w:r>
    </w:p>
    <w:p>
      <w:pPr>
        <w:adjustRightInd w:val="0"/>
        <w:snapToGrid w:val="0"/>
        <w:spacing w:line="620" w:lineRule="exact"/>
        <w:ind w:firstLine="0" w:firstLineChars="0"/>
        <w:jc w:val="center"/>
        <w:rPr>
          <w:rFonts w:eastAsia="方正黑体简体"/>
          <w:bCs/>
          <w:sz w:val="32"/>
          <w:szCs w:val="32"/>
        </w:rPr>
      </w:pPr>
      <w:r>
        <w:rPr>
          <w:rFonts w:eastAsia="方正黑体简体"/>
          <w:bCs/>
          <w:sz w:val="32"/>
          <w:szCs w:val="32"/>
        </w:rPr>
        <w:t>第三章    采购方式管理</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第八条 医疗</w:t>
      </w:r>
      <w:r>
        <w:rPr>
          <w:rFonts w:hint="eastAsia" w:eastAsia="方正仿宋简体"/>
          <w:sz w:val="32"/>
          <w:szCs w:val="32"/>
        </w:rPr>
        <w:t>卫生</w:t>
      </w:r>
      <w:r>
        <w:rPr>
          <w:rFonts w:eastAsia="方正仿宋简体"/>
          <w:sz w:val="32"/>
          <w:szCs w:val="32"/>
        </w:rPr>
        <w:t>机构医疗设备达到公开招标数额标准的，应当采用公开招标方式。在一个财政年度内，医疗</w:t>
      </w:r>
      <w:r>
        <w:rPr>
          <w:rFonts w:hint="eastAsia" w:eastAsia="方正仿宋简体"/>
          <w:sz w:val="32"/>
          <w:szCs w:val="32"/>
        </w:rPr>
        <w:t>卫生</w:t>
      </w:r>
      <w:r>
        <w:rPr>
          <w:rFonts w:eastAsia="方正仿宋简体"/>
          <w:sz w:val="32"/>
          <w:szCs w:val="32"/>
        </w:rPr>
        <w:t>机构将一个预算项目下的同一品目医疗设备采用公开招标以外的方式多次采购，累计资金数额超过公开招标数额标准的，属于以化整为零方式规避公开招标，但项目预算调整或者经批准采用公开招标以外方式采购除外。医疗</w:t>
      </w:r>
      <w:r>
        <w:rPr>
          <w:rFonts w:hint="eastAsia" w:eastAsia="方正仿宋简体"/>
          <w:sz w:val="32"/>
          <w:szCs w:val="32"/>
        </w:rPr>
        <w:t>卫生</w:t>
      </w:r>
      <w:r>
        <w:rPr>
          <w:rFonts w:eastAsia="方正仿宋简体"/>
          <w:sz w:val="32"/>
          <w:szCs w:val="32"/>
        </w:rPr>
        <w:t>机构不得将应当以公开招标方式采购的医疗设备化整为零或者以其他任何方式规避公开招标采购。医疗</w:t>
      </w:r>
      <w:r>
        <w:rPr>
          <w:rFonts w:hint="eastAsia" w:eastAsia="方正仿宋简体"/>
          <w:sz w:val="32"/>
          <w:szCs w:val="32"/>
        </w:rPr>
        <w:t>卫生</w:t>
      </w:r>
      <w:r>
        <w:rPr>
          <w:rFonts w:eastAsia="方正仿宋简体"/>
          <w:sz w:val="32"/>
          <w:szCs w:val="32"/>
        </w:rPr>
        <w:t xml:space="preserve">机构选择公开招标方式的采购项目，经主管部门审核同意后，报同级财政部门备案。 </w:t>
      </w:r>
    </w:p>
    <w:p>
      <w:pPr>
        <w:adjustRightInd w:val="0"/>
        <w:snapToGrid w:val="0"/>
        <w:spacing w:line="620" w:lineRule="exact"/>
        <w:rPr>
          <w:rFonts w:eastAsia="方正仿宋简体"/>
          <w:sz w:val="32"/>
          <w:szCs w:val="32"/>
        </w:rPr>
      </w:pPr>
      <w:r>
        <w:rPr>
          <w:rFonts w:eastAsia="方正仿宋简体"/>
          <w:sz w:val="32"/>
          <w:szCs w:val="32"/>
        </w:rPr>
        <w:t xml:space="preserve">    医疗设备采购项目达到公开招标数额标准的因特殊情况需要采用公开招标以外采购方式的，医疗</w:t>
      </w:r>
      <w:r>
        <w:rPr>
          <w:rFonts w:hint="eastAsia" w:eastAsia="方正仿宋简体"/>
          <w:sz w:val="32"/>
          <w:szCs w:val="32"/>
        </w:rPr>
        <w:t>卫生</w:t>
      </w:r>
      <w:r>
        <w:rPr>
          <w:rFonts w:eastAsia="方正仿宋简体"/>
          <w:sz w:val="32"/>
          <w:szCs w:val="32"/>
        </w:rPr>
        <w:t>机构应当在采购活动开始前，报经主管部门同意后，向省级财政部门申请批准。</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第九条  医疗设备公开招标数额标准为100万元。</w:t>
      </w:r>
      <w:r>
        <w:rPr>
          <w:rFonts w:hint="eastAsia" w:eastAsia="方正仿宋简体"/>
          <w:sz w:val="32"/>
          <w:szCs w:val="32"/>
        </w:rPr>
        <w:t>（按照省级财政部门公布的公开招标数额为标准，实行动态调整。）</w:t>
      </w:r>
    </w:p>
    <w:p>
      <w:pPr>
        <w:adjustRightInd w:val="0"/>
        <w:snapToGrid w:val="0"/>
        <w:spacing w:line="620" w:lineRule="exact"/>
        <w:rPr>
          <w:rFonts w:eastAsia="方正仿宋简体"/>
          <w:sz w:val="32"/>
          <w:szCs w:val="32"/>
        </w:rPr>
      </w:pPr>
      <w:r>
        <w:rPr>
          <w:rFonts w:eastAsia="方正仿宋简体"/>
          <w:sz w:val="32"/>
          <w:szCs w:val="32"/>
        </w:rPr>
        <w:t xml:space="preserve">    第十条  </w:t>
      </w:r>
      <w:r>
        <w:rPr>
          <w:rFonts w:hint="eastAsia" w:eastAsia="方正仿宋简体"/>
          <w:sz w:val="32"/>
          <w:szCs w:val="32"/>
        </w:rPr>
        <w:t>医疗设备应首选公开招标方式采购，</w:t>
      </w:r>
      <w:r>
        <w:rPr>
          <w:rFonts w:eastAsia="方正仿宋简体"/>
          <w:sz w:val="32"/>
          <w:szCs w:val="32"/>
        </w:rPr>
        <w:t>不足公开招标数额标准的，可以根据医疗设备的性质和特点</w:t>
      </w:r>
      <w:r>
        <w:rPr>
          <w:rFonts w:hint="eastAsia" w:eastAsia="方正仿宋简体"/>
          <w:sz w:val="32"/>
          <w:szCs w:val="32"/>
        </w:rPr>
        <w:t>以及《政府采购非招标方式管理办法》等有关规定</w:t>
      </w:r>
      <w:r>
        <w:rPr>
          <w:rFonts w:eastAsia="方正仿宋简体"/>
          <w:sz w:val="32"/>
          <w:szCs w:val="32"/>
        </w:rPr>
        <w:t>，选择采用邀请招标、竞争性谈判、竞争性磋商、询价、单一来源等采购方式。</w:t>
      </w:r>
    </w:p>
    <w:p>
      <w:pPr>
        <w:adjustRightInd w:val="0"/>
        <w:snapToGrid w:val="0"/>
        <w:spacing w:line="620" w:lineRule="exact"/>
        <w:rPr>
          <w:rFonts w:eastAsia="方正仿宋简体"/>
          <w:sz w:val="32"/>
          <w:szCs w:val="32"/>
        </w:rPr>
      </w:pPr>
      <w:r>
        <w:rPr>
          <w:rFonts w:hint="eastAsia" w:eastAsia="方正仿宋简体"/>
          <w:sz w:val="32"/>
          <w:szCs w:val="32"/>
        </w:rPr>
        <w:t xml:space="preserve">    </w:t>
      </w:r>
      <w:r>
        <w:rPr>
          <w:rFonts w:eastAsia="方正仿宋简体"/>
          <w:sz w:val="32"/>
          <w:szCs w:val="32"/>
        </w:rPr>
        <w:t>第十一条  各医疗</w:t>
      </w:r>
      <w:r>
        <w:rPr>
          <w:rFonts w:hint="eastAsia" w:eastAsia="方正仿宋简体"/>
          <w:sz w:val="32"/>
          <w:szCs w:val="32"/>
        </w:rPr>
        <w:t>卫生</w:t>
      </w:r>
      <w:r>
        <w:rPr>
          <w:rFonts w:eastAsia="方正仿宋简体"/>
          <w:sz w:val="32"/>
          <w:szCs w:val="32"/>
        </w:rPr>
        <w:t>机构自行组织医疗设备采购单项或批量预算金额超过30万元的，应当报预算主管部门批准后实施，自行采购同类品目的年度累计金额不得超过100万元。</w:t>
      </w:r>
      <w:r>
        <w:rPr>
          <w:rFonts w:hint="eastAsia" w:eastAsia="方正仿宋简体"/>
          <w:sz w:val="32"/>
          <w:szCs w:val="32"/>
        </w:rPr>
        <w:t>（省级财政部门公布的金额起点，实行动态调整。）</w:t>
      </w:r>
    </w:p>
    <w:p>
      <w:pPr>
        <w:adjustRightInd w:val="0"/>
        <w:snapToGrid w:val="0"/>
        <w:spacing w:line="620" w:lineRule="exact"/>
        <w:ind w:firstLine="640" w:firstLineChars="200"/>
        <w:rPr>
          <w:rFonts w:eastAsia="方正仿宋简体"/>
          <w:sz w:val="32"/>
          <w:szCs w:val="32"/>
        </w:rPr>
      </w:pPr>
      <w:r>
        <w:rPr>
          <w:rFonts w:eastAsia="方正仿宋简体"/>
          <w:sz w:val="32"/>
          <w:szCs w:val="32"/>
        </w:rPr>
        <w:t xml:space="preserve">第十二条 </w:t>
      </w:r>
      <w:r>
        <w:rPr>
          <w:rFonts w:hint="eastAsia" w:eastAsia="方正仿宋简体"/>
          <w:sz w:val="32"/>
          <w:szCs w:val="32"/>
        </w:rPr>
        <w:t xml:space="preserve"> </w:t>
      </w:r>
      <w:r>
        <w:rPr>
          <w:rFonts w:eastAsia="方正仿宋简体"/>
          <w:sz w:val="32"/>
          <w:szCs w:val="32"/>
        </w:rPr>
        <w:t>医疗</w:t>
      </w:r>
      <w:r>
        <w:rPr>
          <w:rFonts w:hint="eastAsia" w:eastAsia="方正仿宋简体"/>
          <w:sz w:val="32"/>
          <w:szCs w:val="32"/>
        </w:rPr>
        <w:t>卫生</w:t>
      </w:r>
      <w:r>
        <w:rPr>
          <w:rFonts w:eastAsia="方正仿宋简体"/>
          <w:sz w:val="32"/>
          <w:szCs w:val="32"/>
        </w:rPr>
        <w:t>机构应严格执行政府招标采购程序，不得以赠送、举债、投放等方式购置医疗设备。对于品牌、型号、配置、保修年限等相同条件的医疗设备，购置价格应与同地区同级别医疗单位购置价格相当。</w:t>
      </w:r>
    </w:p>
    <w:p>
      <w:pPr>
        <w:adjustRightInd w:val="0"/>
        <w:snapToGrid w:val="0"/>
        <w:spacing w:line="620" w:lineRule="exact"/>
        <w:jc w:val="center"/>
        <w:rPr>
          <w:rFonts w:eastAsia="方正黑体简体"/>
          <w:bCs/>
          <w:sz w:val="32"/>
          <w:szCs w:val="32"/>
        </w:rPr>
      </w:pPr>
      <w:r>
        <w:rPr>
          <w:rFonts w:eastAsia="方正黑体简体"/>
          <w:bCs/>
          <w:sz w:val="32"/>
          <w:szCs w:val="32"/>
        </w:rPr>
        <w:t>第四章  采购制度管理</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第十三条  各医疗</w:t>
      </w:r>
      <w:r>
        <w:rPr>
          <w:rFonts w:hint="eastAsia" w:eastAsia="方正仿宋简体"/>
          <w:sz w:val="32"/>
          <w:szCs w:val="32"/>
        </w:rPr>
        <w:t>卫生</w:t>
      </w:r>
      <w:r>
        <w:rPr>
          <w:rFonts w:eastAsia="方正仿宋简体"/>
          <w:sz w:val="32"/>
          <w:szCs w:val="32"/>
        </w:rPr>
        <w:t>单位要成立医疗设备采购工作领导小组由分管领导任组长，成员由办公室、资产后勤、财务、信息中心等有关科室负责人组成。其职责是负责对本单位医疗设备采购项目经费预算、采购需求、采购计划、采购方式、组织形式、招标文件、合同文本、信息公告、资金支付、履约验收等环节进行合理性、合规性审查和监督切实履行采购活动的主体责任和监督管理责任。</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第十四条  建立健全医疗设备采购事项集体研究、合法性审查和内部会商相结合的议事决策机制。对于社会影响突出、风险隐患较大、预算金额较大的采购事项，还应当建立法律顾问、技术咨询和公开征求意见等机制，形成完整决策过程记录，任何个人不得单独决策或者擅自改变集体决策。</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第十五条  各医疗</w:t>
      </w:r>
      <w:r>
        <w:rPr>
          <w:rFonts w:hint="eastAsia" w:eastAsia="方正仿宋简体"/>
          <w:sz w:val="32"/>
          <w:szCs w:val="32"/>
        </w:rPr>
        <w:t>卫生</w:t>
      </w:r>
      <w:r>
        <w:rPr>
          <w:rFonts w:eastAsia="方正仿宋简体"/>
          <w:sz w:val="32"/>
          <w:szCs w:val="32"/>
        </w:rPr>
        <w:t>机构要严格执行定期轮岗交流制度，具体负责组织医疗设备采购活动、合同签订、履约验收等业务的岗位原则上不超过5年。不具备轮岗条件的应当采取定期专项审计等控制措施。建立和完善政府采购在岗监督、换岗审查和离岗责任追溯制度，对轮岗后发现在原岗位工作期间存在政府采购违法违纪行为的，按国家有关规定追究责任。</w:t>
      </w:r>
    </w:p>
    <w:p>
      <w:pPr>
        <w:adjustRightInd w:val="0"/>
        <w:snapToGrid w:val="0"/>
        <w:spacing w:line="620" w:lineRule="exact"/>
        <w:ind w:firstLine="640" w:firstLineChars="200"/>
        <w:rPr>
          <w:rFonts w:eastAsia="方正仿宋简体"/>
          <w:sz w:val="32"/>
          <w:szCs w:val="32"/>
        </w:rPr>
      </w:pPr>
      <w:r>
        <w:rPr>
          <w:rFonts w:eastAsia="方正仿宋简体"/>
          <w:sz w:val="32"/>
          <w:szCs w:val="32"/>
        </w:rPr>
        <w:t>第十六条  各医疗</w:t>
      </w:r>
      <w:r>
        <w:rPr>
          <w:rFonts w:hint="eastAsia" w:eastAsia="方正仿宋简体"/>
          <w:sz w:val="32"/>
          <w:szCs w:val="32"/>
        </w:rPr>
        <w:t>卫生</w:t>
      </w:r>
      <w:r>
        <w:rPr>
          <w:rFonts w:eastAsia="方正仿宋简体"/>
          <w:sz w:val="32"/>
          <w:szCs w:val="32"/>
        </w:rPr>
        <w:t>机构要按照《政府采购法》、《政府采购法实施条例》及国家和省级有关规定，制定本部门、本单位内部采购监督管理制度和工作流程，明确本单位内部各相关科室采购工作的主要职责分工及完成时限。</w:t>
      </w:r>
    </w:p>
    <w:p>
      <w:pPr>
        <w:adjustRightInd w:val="0"/>
        <w:snapToGrid w:val="0"/>
        <w:spacing w:line="620" w:lineRule="exact"/>
        <w:ind w:firstLine="640" w:firstLineChars="200"/>
        <w:rPr>
          <w:rFonts w:eastAsia="方正仿宋简体"/>
          <w:sz w:val="32"/>
          <w:szCs w:val="32"/>
        </w:rPr>
      </w:pPr>
      <w:r>
        <w:rPr>
          <w:rFonts w:eastAsia="方正仿宋简体"/>
          <w:sz w:val="32"/>
          <w:szCs w:val="32"/>
        </w:rPr>
        <w:t xml:space="preserve">第十七条 </w:t>
      </w:r>
      <w:r>
        <w:rPr>
          <w:rFonts w:hint="eastAsia" w:eastAsia="方正仿宋简体"/>
          <w:sz w:val="32"/>
          <w:szCs w:val="32"/>
        </w:rPr>
        <w:t xml:space="preserve"> </w:t>
      </w:r>
      <w:r>
        <w:rPr>
          <w:rFonts w:eastAsia="方正仿宋简体"/>
          <w:sz w:val="32"/>
          <w:szCs w:val="32"/>
        </w:rPr>
        <w:t xml:space="preserve"> 健全档案管理制度。各医疗卫生机构对医疗设备采购项目每项采购活动的采购文件应当妥善保存，不得伪造、变造、隐匿或者销毁。采购文件的保存期限为从采购结束之日起至少保存十五年。采购文件可以用电子档案方式保存。</w:t>
      </w:r>
    </w:p>
    <w:p>
      <w:pPr>
        <w:adjustRightInd w:val="0"/>
        <w:snapToGrid w:val="0"/>
        <w:spacing w:line="620" w:lineRule="exact"/>
        <w:jc w:val="center"/>
        <w:rPr>
          <w:rFonts w:eastAsia="方正黑体简体"/>
          <w:bCs/>
          <w:sz w:val="32"/>
          <w:szCs w:val="32"/>
        </w:rPr>
      </w:pPr>
      <w:r>
        <w:rPr>
          <w:rFonts w:eastAsia="方正黑体简体"/>
          <w:bCs/>
          <w:sz w:val="32"/>
          <w:szCs w:val="32"/>
        </w:rPr>
        <w:t>第五章  监督管理</w:t>
      </w:r>
    </w:p>
    <w:p>
      <w:pPr>
        <w:adjustRightInd w:val="0"/>
        <w:snapToGrid w:val="0"/>
        <w:spacing w:line="620" w:lineRule="exact"/>
        <w:ind w:firstLine="0" w:firstLineChars="0"/>
        <w:rPr>
          <w:rFonts w:eastAsia="方正仿宋简体"/>
          <w:sz w:val="32"/>
          <w:szCs w:val="32"/>
        </w:rPr>
      </w:pPr>
      <w:r>
        <w:rPr>
          <w:rFonts w:hint="eastAsia" w:eastAsia="方正仿宋简体"/>
          <w:sz w:val="32"/>
          <w:szCs w:val="32"/>
        </w:rPr>
        <w:t xml:space="preserve">    </w:t>
      </w:r>
      <w:r>
        <w:rPr>
          <w:rFonts w:eastAsia="方正仿宋简体"/>
          <w:sz w:val="32"/>
          <w:szCs w:val="32"/>
        </w:rPr>
        <w:t>第十</w:t>
      </w:r>
      <w:r>
        <w:rPr>
          <w:rFonts w:hint="eastAsia" w:eastAsia="方正仿宋简体"/>
          <w:sz w:val="32"/>
          <w:szCs w:val="32"/>
        </w:rPr>
        <w:t>八</w:t>
      </w:r>
      <w:r>
        <w:rPr>
          <w:rFonts w:eastAsia="方正仿宋简体"/>
          <w:sz w:val="32"/>
          <w:szCs w:val="32"/>
        </w:rPr>
        <w:t>条  各医疗</w:t>
      </w:r>
      <w:r>
        <w:rPr>
          <w:rFonts w:hint="eastAsia" w:eastAsia="方正仿宋简体"/>
          <w:sz w:val="32"/>
          <w:szCs w:val="32"/>
        </w:rPr>
        <w:t>卫生</w:t>
      </w:r>
      <w:r>
        <w:rPr>
          <w:rFonts w:eastAsia="方正仿宋简体"/>
          <w:sz w:val="32"/>
          <w:szCs w:val="32"/>
        </w:rPr>
        <w:t>机构要发挥内部审计、纪检监察等部门的监督作用，定期开展</w:t>
      </w:r>
      <w:r>
        <w:rPr>
          <w:rFonts w:hint="eastAsia" w:eastAsia="方正仿宋简体"/>
          <w:sz w:val="32"/>
          <w:szCs w:val="32"/>
        </w:rPr>
        <w:t>包括</w:t>
      </w:r>
      <w:r>
        <w:rPr>
          <w:rFonts w:eastAsia="方正仿宋简体"/>
          <w:sz w:val="32"/>
          <w:szCs w:val="32"/>
        </w:rPr>
        <w:t>医疗设备采购</w:t>
      </w:r>
      <w:r>
        <w:rPr>
          <w:rFonts w:hint="eastAsia" w:eastAsia="方正仿宋简体"/>
          <w:sz w:val="32"/>
          <w:szCs w:val="32"/>
        </w:rPr>
        <w:t>在内的政府采购</w:t>
      </w:r>
      <w:r>
        <w:rPr>
          <w:rFonts w:eastAsia="方正仿宋简体"/>
          <w:sz w:val="32"/>
          <w:szCs w:val="32"/>
        </w:rPr>
        <w:t>业务</w:t>
      </w:r>
      <w:r>
        <w:rPr>
          <w:rFonts w:hint="eastAsia" w:eastAsia="方正仿宋简体"/>
          <w:sz w:val="32"/>
          <w:szCs w:val="32"/>
        </w:rPr>
        <w:t>的检查</w:t>
      </w:r>
      <w:r>
        <w:rPr>
          <w:rFonts w:eastAsia="方正仿宋简体"/>
          <w:sz w:val="32"/>
          <w:szCs w:val="32"/>
        </w:rPr>
        <w:t>，实现纪检监察的有效监控。发现采购违法行为应当依法</w:t>
      </w:r>
      <w:r>
        <w:rPr>
          <w:rFonts w:hint="eastAsia" w:eastAsia="方正仿宋简体"/>
          <w:sz w:val="32"/>
          <w:szCs w:val="32"/>
        </w:rPr>
        <w:t>上</w:t>
      </w:r>
      <w:r>
        <w:rPr>
          <w:rFonts w:eastAsia="方正仿宋简体"/>
          <w:sz w:val="32"/>
          <w:szCs w:val="32"/>
        </w:rPr>
        <w:t>报上级主管部门和财政部门，发现党员干部违法违纪应将有关线索移送纪检监察部门或司法机关。</w:t>
      </w:r>
    </w:p>
    <w:p>
      <w:pPr>
        <w:adjustRightInd w:val="0"/>
        <w:snapToGrid w:val="0"/>
        <w:spacing w:line="620" w:lineRule="exact"/>
        <w:rPr>
          <w:rFonts w:eastAsia="方正仿宋简体"/>
          <w:sz w:val="32"/>
          <w:szCs w:val="32"/>
        </w:rPr>
      </w:pPr>
      <w:r>
        <w:rPr>
          <w:rFonts w:hint="eastAsia" w:eastAsia="方正仿宋简体"/>
          <w:sz w:val="32"/>
          <w:szCs w:val="32"/>
        </w:rPr>
        <w:t xml:space="preserve">    </w:t>
      </w:r>
      <w:r>
        <w:rPr>
          <w:rFonts w:eastAsia="方正仿宋简体"/>
          <w:sz w:val="32"/>
          <w:szCs w:val="32"/>
        </w:rPr>
        <w:t>第</w:t>
      </w:r>
      <w:r>
        <w:rPr>
          <w:rFonts w:hint="eastAsia" w:eastAsia="方正仿宋简体"/>
          <w:sz w:val="32"/>
          <w:szCs w:val="32"/>
        </w:rPr>
        <w:t>十九</w:t>
      </w:r>
      <w:r>
        <w:rPr>
          <w:rFonts w:eastAsia="方正仿宋简体"/>
          <w:sz w:val="32"/>
          <w:szCs w:val="32"/>
        </w:rPr>
        <w:t>条  省属医疗</w:t>
      </w:r>
      <w:r>
        <w:rPr>
          <w:rFonts w:hint="eastAsia" w:eastAsia="方正仿宋简体"/>
          <w:sz w:val="32"/>
          <w:szCs w:val="32"/>
        </w:rPr>
        <w:t>卫生</w:t>
      </w:r>
      <w:r>
        <w:rPr>
          <w:rFonts w:eastAsia="方正仿宋简体"/>
          <w:sz w:val="32"/>
          <w:szCs w:val="32"/>
        </w:rPr>
        <w:t>机构应每季度向省卫生计生委报送医用磁共振成像设备（MRI）、X线电子计算机断层扫描装置（CT）、800毫安以上数字减影血管造影X线机（DSA）、数字平板X线成像装置（DR）、医用超声设备、生化分析仪、免疫分析仪等7种设备购置情况，由省卫生计生委汇总后在其官方网站上公布。</w:t>
      </w:r>
    </w:p>
    <w:p>
      <w:pPr>
        <w:adjustRightInd w:val="0"/>
        <w:snapToGrid w:val="0"/>
        <w:spacing w:line="620" w:lineRule="exact"/>
        <w:jc w:val="center"/>
        <w:rPr>
          <w:rFonts w:eastAsia="方正黑体简体"/>
          <w:bCs/>
          <w:sz w:val="32"/>
          <w:szCs w:val="32"/>
        </w:rPr>
      </w:pPr>
      <w:r>
        <w:rPr>
          <w:rFonts w:eastAsia="方正黑体简体"/>
          <w:bCs/>
          <w:sz w:val="32"/>
          <w:szCs w:val="32"/>
        </w:rPr>
        <w:t>第六章  附则</w:t>
      </w:r>
    </w:p>
    <w:p>
      <w:pPr>
        <w:adjustRightInd w:val="0"/>
        <w:snapToGrid w:val="0"/>
        <w:spacing w:line="620" w:lineRule="exact"/>
        <w:rPr>
          <w:rFonts w:eastAsia="方正仿宋简体"/>
          <w:sz w:val="32"/>
          <w:szCs w:val="32"/>
        </w:rPr>
      </w:pPr>
      <w:r>
        <w:rPr>
          <w:rFonts w:eastAsia="方正仿宋简体"/>
          <w:sz w:val="32"/>
          <w:szCs w:val="32"/>
        </w:rPr>
        <w:t>　　第二十二条  本办法自印发之日起施行。</w:t>
      </w:r>
    </w:p>
    <w:p/>
    <w:sectPr>
      <w:footerReference r:id="rId3" w:type="default"/>
      <w:footerReference r:id="rId4" w:type="even"/>
      <w:pgSz w:w="11906" w:h="16838"/>
      <w:pgMar w:top="1985" w:right="1587" w:bottom="1871" w:left="1587" w:header="851" w:footer="1588" w:gutter="0"/>
      <w:pgNumType w:start="2"/>
      <w:cols w:space="720" w:num="1"/>
      <w:docGrid w:type="lines" w:linePitch="5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2010601030101010101"/>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254" w:rightChars="121" w:firstLine="305" w:firstLineChars="109"/>
      <w:jc w:val="right"/>
      <w:rPr>
        <w:rStyle w:val="4"/>
        <w:rFonts w:hint="eastAsia"/>
        <w:sz w:val="28"/>
        <w:szCs w:val="28"/>
      </w:rPr>
    </w:pPr>
    <w:r>
      <w:rPr>
        <w:rStyle w:val="4"/>
        <w:rFonts w:hint="eastAsia"/>
        <w:sz w:val="28"/>
        <w:szCs w:val="28"/>
      </w:rPr>
      <w:t xml:space="preserve">— </w:t>
    </w:r>
    <w:r>
      <w:rPr>
        <w:rStyle w:val="4"/>
        <w:sz w:val="28"/>
        <w:szCs w:val="28"/>
      </w:rPr>
      <w:fldChar w:fldCharType="begin"/>
    </w:r>
    <w:r>
      <w:rPr>
        <w:rStyle w:val="4"/>
        <w:sz w:val="28"/>
        <w:szCs w:val="28"/>
      </w:rPr>
      <w:instrText xml:space="preserve">PAGE  </w:instrText>
    </w:r>
    <w:r>
      <w:rPr>
        <w:rStyle w:val="4"/>
        <w:sz w:val="28"/>
        <w:szCs w:val="28"/>
      </w:rPr>
      <w:fldChar w:fldCharType="separate"/>
    </w:r>
    <w:r>
      <w:rPr>
        <w:rStyle w:val="4"/>
        <w:sz w:val="28"/>
        <w:szCs w:val="28"/>
      </w:rPr>
      <w:t>6</w:t>
    </w:r>
    <w:r>
      <w:rPr>
        <w:rStyle w:val="4"/>
        <w:sz w:val="28"/>
        <w:szCs w:val="28"/>
      </w:rPr>
      <w:fldChar w:fldCharType="end"/>
    </w:r>
    <w:r>
      <w:rPr>
        <w:rStyle w:val="4"/>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fldChar w:fldCharType="begin"/>
    </w:r>
    <w:r>
      <w:rPr>
        <w:rStyle w:val="4"/>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320B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2017-04-05T07:37:05Z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