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简体" w:eastAsia="方正小标宋简体"/>
          <w:color w:val="auto"/>
          <w:sz w:val="44"/>
          <w:szCs w:val="44"/>
          <w:highlight w:val="none"/>
        </w:rPr>
      </w:pPr>
      <w:r>
        <w:rPr>
          <w:rFonts w:hint="eastAsia" w:ascii="方正小标宋简体" w:eastAsia="方正小标宋简体"/>
          <w:color w:val="auto"/>
          <w:sz w:val="44"/>
          <w:szCs w:val="44"/>
          <w:highlight w:val="none"/>
        </w:rPr>
        <w:t>关于组织第</w:t>
      </w:r>
      <w:r>
        <w:rPr>
          <w:rFonts w:hint="eastAsia" w:ascii="方正小标宋简体" w:eastAsia="方正小标宋简体"/>
          <w:color w:val="auto"/>
          <w:sz w:val="44"/>
          <w:szCs w:val="44"/>
          <w:highlight w:val="none"/>
          <w:lang w:val="en-US" w:eastAsia="zh-CN"/>
        </w:rPr>
        <w:t>四</w:t>
      </w:r>
      <w:r>
        <w:rPr>
          <w:rFonts w:hint="eastAsia" w:ascii="方正小标宋简体" w:eastAsia="方正小标宋简体"/>
          <w:color w:val="auto"/>
          <w:sz w:val="44"/>
          <w:szCs w:val="44"/>
          <w:highlight w:val="none"/>
        </w:rPr>
        <w:t>届全国说医解药科普大赛</w:t>
      </w:r>
    </w:p>
    <w:p>
      <w:pPr>
        <w:spacing w:line="600" w:lineRule="exact"/>
        <w:jc w:val="center"/>
        <w:rPr>
          <w:rFonts w:ascii="方正小标宋简体" w:eastAsia="方正小标宋简体"/>
          <w:color w:val="auto"/>
          <w:sz w:val="44"/>
          <w:szCs w:val="44"/>
          <w:highlight w:val="none"/>
        </w:rPr>
      </w:pPr>
      <w:r>
        <w:rPr>
          <w:rFonts w:hint="eastAsia" w:ascii="方正小标宋简体" w:eastAsia="方正小标宋简体"/>
          <w:color w:val="auto"/>
          <w:sz w:val="44"/>
          <w:szCs w:val="44"/>
          <w:highlight w:val="none"/>
        </w:rPr>
        <w:t>的通知</w:t>
      </w:r>
    </w:p>
    <w:p>
      <w:pPr>
        <w:rPr>
          <w:color w:val="auto"/>
          <w:highlight w:val="none"/>
        </w:rPr>
      </w:pPr>
    </w:p>
    <w:p>
      <w:pPr>
        <w:rPr>
          <w:rFonts w:ascii="仿宋_GB2312" w:hAnsi="仿宋_GB2312" w:eastAsia="仿宋_GB2312" w:cs="仿宋_GB2312"/>
          <w:bCs/>
          <w:color w:val="auto"/>
          <w:kern w:val="28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Cs/>
          <w:color w:val="auto"/>
          <w:kern w:val="28"/>
          <w:sz w:val="32"/>
          <w:szCs w:val="32"/>
          <w:highlight w:val="none"/>
        </w:rPr>
        <w:t>各有关单位：</w:t>
      </w:r>
    </w:p>
    <w:p>
      <w:pPr>
        <w:ind w:firstLine="640" w:firstLineChars="200"/>
        <w:rPr>
          <w:rFonts w:hint="default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  <w14:ligatures w14:val="standardContextual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为贯彻落实《关于新时代进一步加强科学技术普及工作的意见》，按照《“十四五”中医药文化弘扬工程实施方案》，</w:t>
      </w:r>
      <w:r>
        <w:rPr>
          <w:rFonts w:hint="eastAsia" w:ascii="仿宋_GB2312" w:hAnsi="仿宋_GB2312" w:eastAsia="仿宋_GB2312" w:cs="仿宋_GB2312"/>
          <w:bCs/>
          <w:color w:val="auto"/>
          <w:kern w:val="28"/>
          <w:sz w:val="32"/>
          <w:szCs w:val="32"/>
          <w:highlight w:val="none"/>
        </w:rPr>
        <w:t>中国中医药</w:t>
      </w:r>
      <w:r>
        <w:rPr>
          <w:rFonts w:hint="eastAsia" w:ascii="仿宋_GB2312" w:hAnsi="仿宋_GB2312" w:eastAsia="仿宋_GB2312" w:cs="仿宋_GB2312"/>
          <w:bCs/>
          <w:color w:val="auto"/>
          <w:kern w:val="28"/>
          <w:sz w:val="32"/>
          <w:szCs w:val="32"/>
          <w:highlight w:val="none"/>
          <w:lang w:val="en-US" w:eastAsia="zh-CN"/>
        </w:rPr>
        <w:t>科技</w:t>
      </w:r>
      <w:r>
        <w:rPr>
          <w:rFonts w:hint="eastAsia" w:ascii="仿宋_GB2312" w:hAnsi="仿宋_GB2312" w:eastAsia="仿宋_GB2312" w:cs="仿宋_GB2312"/>
          <w:bCs/>
          <w:color w:val="auto"/>
          <w:kern w:val="28"/>
          <w:sz w:val="32"/>
          <w:szCs w:val="32"/>
          <w:highlight w:val="none"/>
        </w:rPr>
        <w:t>发展中心（国家中医药管理局人才交流中心）</w:t>
      </w:r>
      <w:r>
        <w:rPr>
          <w:rFonts w:hint="eastAsia" w:ascii="仿宋_GB2312" w:hAnsi="仿宋_GB2312" w:eastAsia="仿宋_GB2312" w:cs="仿宋_GB2312"/>
          <w:bCs/>
          <w:color w:val="auto"/>
          <w:kern w:val="28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bCs/>
          <w:color w:val="auto"/>
          <w:kern w:val="28"/>
          <w:sz w:val="32"/>
          <w:szCs w:val="32"/>
          <w:highlight w:val="none"/>
          <w:lang w:val="en-US" w:eastAsia="zh-CN"/>
        </w:rPr>
        <w:t>以下简称中心</w:t>
      </w:r>
      <w:r>
        <w:rPr>
          <w:rFonts w:hint="eastAsia" w:ascii="仿宋_GB2312" w:hAnsi="仿宋_GB2312" w:eastAsia="仿宋_GB2312" w:cs="仿宋_GB2312"/>
          <w:bCs/>
          <w:color w:val="auto"/>
          <w:kern w:val="28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bCs/>
          <w:color w:val="auto"/>
          <w:kern w:val="28"/>
          <w:sz w:val="32"/>
          <w:szCs w:val="32"/>
          <w:highlight w:val="none"/>
          <w:lang w:val="en-US" w:eastAsia="zh-CN"/>
        </w:rPr>
        <w:t>启动第四届全国说医解药科普大赛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  <w14:ligatures w14:val="standardContextual"/>
        </w:rPr>
        <w:t>（以下简称大赛）。</w:t>
      </w:r>
    </w:p>
    <w:p>
      <w:pPr>
        <w:ind w:firstLine="640" w:firstLineChars="200"/>
        <w:rPr>
          <w:rFonts w:ascii="仿宋_GB2312" w:hAnsi="仿宋_GB2312" w:eastAsia="仿宋_GB2312" w:cs="仿宋_GB2312"/>
          <w:bCs/>
          <w:color w:val="auto"/>
          <w:kern w:val="28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Cs/>
          <w:color w:val="auto"/>
          <w:kern w:val="28"/>
          <w:sz w:val="32"/>
          <w:szCs w:val="32"/>
          <w:highlight w:val="none"/>
          <w:lang w:val="en-US" w:eastAsia="zh-CN"/>
        </w:rPr>
        <w:t>大赛连续成功举办3届，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  <w14:ligatures w14:val="standardContextual"/>
        </w:rPr>
        <w:t>累计吸引参赛选手超2万人、参赛机构3000余家，征集作品达9600余部，全网赛事作品浏览量过5000万人次，遴选出获奖优秀作品百余部，产生了较好的社会成效和品牌影响力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  <w14:ligatures w14:val="standardContextual"/>
        </w:rPr>
        <w:t>。为进一步普及中医药健康知识，现将第四届大赛</w:t>
      </w:r>
      <w:r>
        <w:rPr>
          <w:rFonts w:hint="eastAsia" w:ascii="仿宋_GB2312" w:hAnsi="仿宋_GB2312" w:eastAsia="仿宋_GB2312" w:cs="仿宋_GB2312"/>
          <w:bCs/>
          <w:color w:val="auto"/>
          <w:kern w:val="28"/>
          <w:sz w:val="32"/>
          <w:szCs w:val="32"/>
          <w:highlight w:val="none"/>
          <w:lang w:val="en-US" w:eastAsia="zh-CN"/>
        </w:rPr>
        <w:t>具体</w:t>
      </w:r>
      <w:r>
        <w:rPr>
          <w:rFonts w:hint="eastAsia" w:ascii="仿宋_GB2312" w:hAnsi="仿宋_GB2312" w:eastAsia="仿宋_GB2312" w:cs="仿宋_GB2312"/>
          <w:bCs/>
          <w:color w:val="auto"/>
          <w:kern w:val="28"/>
          <w:sz w:val="32"/>
          <w:szCs w:val="32"/>
          <w:highlight w:val="none"/>
        </w:rPr>
        <w:t>事宜通知如下：</w:t>
      </w:r>
    </w:p>
    <w:p>
      <w:pPr>
        <w:spacing w:line="360" w:lineRule="auto"/>
        <w:ind w:firstLine="640" w:firstLineChars="200"/>
        <w:rPr>
          <w:rFonts w:ascii="黑体" w:hAnsi="黑体" w:eastAsia="黑体" w:cs="黑体"/>
          <w:color w:val="auto"/>
          <w:sz w:val="32"/>
          <w:highlight w:val="none"/>
        </w:rPr>
      </w:pPr>
      <w:bookmarkStart w:id="0" w:name="_Toc23356"/>
      <w:r>
        <w:rPr>
          <w:rFonts w:hint="eastAsia" w:ascii="黑体" w:hAnsi="黑体" w:eastAsia="黑体" w:cs="黑体"/>
          <w:color w:val="auto"/>
          <w:sz w:val="32"/>
          <w:highlight w:val="none"/>
          <w:lang w:val="en-US" w:eastAsia="zh-CN"/>
        </w:rPr>
        <w:t>一</w:t>
      </w:r>
      <w:r>
        <w:rPr>
          <w:rFonts w:ascii="黑体" w:hAnsi="黑体" w:eastAsia="黑体" w:cs="黑体"/>
          <w:color w:val="auto"/>
          <w:sz w:val="32"/>
          <w:highlight w:val="none"/>
        </w:rPr>
        <w:t>、指导思想</w:t>
      </w:r>
    </w:p>
    <w:p>
      <w:pPr>
        <w:overflowPunct w:val="0"/>
        <w:spacing w:line="600" w:lineRule="exact"/>
        <w:ind w:firstLine="640" w:firstLineChars="200"/>
        <w:rPr>
          <w:rFonts w:ascii="Times New Roman" w:hAnsi="Times New Roman" w:eastAsia="仿宋_GB2312"/>
          <w:color w:val="auto"/>
          <w:sz w:val="32"/>
          <w:szCs w:val="32"/>
          <w:highlight w:val="none"/>
        </w:rPr>
      </w:pPr>
      <w:r>
        <w:rPr>
          <w:rFonts w:ascii="Times New Roman" w:hAnsi="Times New Roman" w:eastAsia="仿宋_GB2312"/>
          <w:color w:val="auto"/>
          <w:sz w:val="32"/>
          <w:szCs w:val="32"/>
          <w:highlight w:val="none"/>
        </w:rPr>
        <w:t>大赛坚持以习近平新时代中国特色社会主义思想为指导，贯彻落实习近平总书记关于中医药工作的重要论述，运用群众喜闻乐见的短视频形式，普及中医药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健康养生</w:t>
      </w:r>
      <w:r>
        <w:rPr>
          <w:rFonts w:ascii="Times New Roman" w:hAnsi="Times New Roman" w:eastAsia="仿宋_GB2312"/>
          <w:color w:val="auto"/>
          <w:sz w:val="32"/>
          <w:szCs w:val="32"/>
          <w:highlight w:val="none"/>
        </w:rPr>
        <w:t>知识，让中医药融入百姓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生产</w:t>
      </w:r>
      <w:r>
        <w:rPr>
          <w:rFonts w:ascii="Times New Roman" w:hAnsi="Times New Roman" w:eastAsia="仿宋_GB2312"/>
          <w:color w:val="auto"/>
          <w:sz w:val="32"/>
          <w:szCs w:val="32"/>
          <w:highlight w:val="none"/>
        </w:rPr>
        <w:t>生活，充分发挥中医药在维护和促进人民健康中的独特作用。</w:t>
      </w:r>
    </w:p>
    <w:p>
      <w:pPr>
        <w:spacing w:line="360" w:lineRule="auto"/>
        <w:ind w:firstLine="640" w:firstLineChars="200"/>
        <w:rPr>
          <w:rFonts w:ascii="黑体" w:hAnsi="黑体" w:eastAsia="黑体" w:cs="黑体"/>
          <w:color w:val="auto"/>
          <w:sz w:val="32"/>
          <w:highlight w:val="none"/>
        </w:rPr>
      </w:pPr>
      <w:r>
        <w:rPr>
          <w:rFonts w:hint="eastAsia" w:ascii="黑体" w:hAnsi="黑体" w:eastAsia="黑体" w:cs="黑体"/>
          <w:color w:val="auto"/>
          <w:sz w:val="32"/>
          <w:highlight w:val="none"/>
          <w:lang w:val="en-US" w:eastAsia="zh-CN"/>
        </w:rPr>
        <w:t>二</w:t>
      </w:r>
      <w:r>
        <w:rPr>
          <w:rFonts w:hint="eastAsia" w:ascii="黑体" w:hAnsi="黑体" w:eastAsia="黑体" w:cs="黑体"/>
          <w:color w:val="auto"/>
          <w:sz w:val="32"/>
          <w:highlight w:val="none"/>
        </w:rPr>
        <w:t>、大赛主题</w:t>
      </w:r>
    </w:p>
    <w:p>
      <w:pPr>
        <w:overflowPunct w:val="0"/>
        <w:spacing w:line="600" w:lineRule="exact"/>
        <w:ind w:firstLine="640" w:firstLineChars="200"/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eastAsia="zh-CN"/>
        </w:rPr>
      </w:pPr>
      <w:r>
        <w:rPr>
          <w:rFonts w:ascii="Times New Roman" w:hAnsi="Times New Roman" w:eastAsia="仿宋_GB2312"/>
          <w:color w:val="auto"/>
          <w:sz w:val="32"/>
          <w:szCs w:val="32"/>
          <w:highlight w:val="none"/>
        </w:rPr>
        <w:t>大赛以“解读中医药经典 弘扬中医药文化”为主题，征集遴选不限创作形式的创意短视频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eastAsia="zh-CN"/>
        </w:rPr>
        <w:t>。</w:t>
      </w:r>
    </w:p>
    <w:p>
      <w:pPr>
        <w:spacing w:line="360" w:lineRule="auto"/>
        <w:ind w:firstLine="640" w:firstLineChars="200"/>
        <w:rPr>
          <w:rFonts w:ascii="黑体" w:hAnsi="黑体" w:eastAsia="黑体" w:cs="黑体"/>
          <w:color w:val="auto"/>
          <w:sz w:val="32"/>
          <w:highlight w:val="none"/>
        </w:rPr>
      </w:pPr>
      <w:r>
        <w:rPr>
          <w:rFonts w:hint="eastAsia" w:ascii="黑体" w:hAnsi="黑体" w:eastAsia="黑体" w:cs="黑体"/>
          <w:color w:val="auto"/>
          <w:sz w:val="32"/>
          <w:highlight w:val="none"/>
          <w:lang w:val="en-US" w:eastAsia="zh-CN"/>
        </w:rPr>
        <w:t>三</w:t>
      </w:r>
      <w:r>
        <w:rPr>
          <w:rFonts w:ascii="黑体" w:hAnsi="黑体" w:eastAsia="黑体" w:cs="黑体"/>
          <w:color w:val="auto"/>
          <w:sz w:val="32"/>
          <w:highlight w:val="none"/>
        </w:rPr>
        <w:t>、组织机构</w:t>
      </w:r>
    </w:p>
    <w:tbl>
      <w:tblPr>
        <w:tblStyle w:val="8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3"/>
        <w:gridCol w:w="614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3" w:type="dxa"/>
          </w:tcPr>
          <w:p>
            <w:pPr>
              <w:spacing w:line="360" w:lineRule="auto"/>
              <w:ind w:firstLine="642" w:firstLineChars="200"/>
              <w:rPr>
                <w:rFonts w:hint="eastAsia" w:ascii="仿宋_GB2312" w:hAnsi="仿宋_GB2312" w:eastAsia="仿宋_GB2312" w:cs="仿宋_GB2312"/>
                <w:color w:val="auto"/>
                <w:sz w:val="32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highlight w:val="none"/>
              </w:rPr>
              <w:t>主办单位：</w:t>
            </w:r>
          </w:p>
        </w:tc>
        <w:tc>
          <w:tcPr>
            <w:tcW w:w="6143" w:type="dxa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color w:val="auto"/>
                <w:sz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highlight w:val="none"/>
              </w:rPr>
              <w:t>中国中医药科技发展中心</w:t>
            </w:r>
          </w:p>
          <w:p>
            <w:pPr>
              <w:spacing w:line="360" w:lineRule="auto"/>
              <w:rPr>
                <w:rFonts w:hint="eastAsia" w:ascii="仿宋_GB2312" w:hAnsi="仿宋_GB2312" w:eastAsia="仿宋_GB2312" w:cs="仿宋_GB2312"/>
                <w:color w:val="auto"/>
                <w:sz w:val="32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highlight w:val="none"/>
              </w:rPr>
              <w:t>（国家中医药管理局人才交流中心）</w:t>
            </w:r>
          </w:p>
        </w:tc>
      </w:tr>
    </w:tbl>
    <w:p>
      <w:pPr>
        <w:pStyle w:val="2"/>
        <w:ind w:left="0" w:leftChars="0" w:firstLine="642" w:firstLineChars="200"/>
        <w:rPr>
          <w:rFonts w:hint="default" w:cs="仿宋_GB2312"/>
          <w:color w:val="auto"/>
          <w:sz w:val="32"/>
          <w:highlight w:val="none"/>
          <w:lang w:val="en-US" w:eastAsia="zh-CN"/>
        </w:rPr>
      </w:pPr>
      <w:r>
        <w:rPr>
          <w:rFonts w:hint="eastAsia" w:cs="仿宋_GB2312"/>
          <w:b/>
          <w:bCs/>
          <w:color w:val="auto"/>
          <w:sz w:val="32"/>
          <w:highlight w:val="none"/>
          <w:lang w:val="en-US" w:eastAsia="zh-CN"/>
        </w:rPr>
        <w:t xml:space="preserve">支持单位： </w:t>
      </w:r>
      <w:r>
        <w:rPr>
          <w:rFonts w:hint="eastAsia" w:cs="仿宋_GB2312"/>
          <w:color w:val="auto"/>
          <w:sz w:val="32"/>
          <w:highlight w:val="none"/>
          <w:lang w:val="en-US" w:eastAsia="zh-CN"/>
        </w:rPr>
        <w:t>中国民族医药学会</w:t>
      </w:r>
    </w:p>
    <w:p>
      <w:pPr>
        <w:pStyle w:val="2"/>
        <w:rPr>
          <w:rFonts w:hint="default" w:eastAsia="仿宋_GB2312"/>
          <w:color w:val="auto"/>
          <w:highlight w:val="none"/>
          <w:lang w:val="en-US" w:eastAsia="zh-CN"/>
        </w:rPr>
      </w:pPr>
      <w:r>
        <w:rPr>
          <w:rFonts w:hint="eastAsia" w:cs="仿宋_GB2312"/>
          <w:b/>
          <w:bCs/>
          <w:color w:val="auto"/>
          <w:sz w:val="32"/>
          <w:highlight w:val="none"/>
          <w:lang w:val="en-US" w:eastAsia="zh-CN"/>
        </w:rPr>
        <w:t xml:space="preserve">支持平台： </w:t>
      </w:r>
      <w:r>
        <w:rPr>
          <w:rFonts w:hint="eastAsia" w:cs="仿宋_GB2312"/>
          <w:b w:val="0"/>
          <w:bCs w:val="0"/>
          <w:color w:val="auto"/>
          <w:sz w:val="32"/>
          <w:highlight w:val="none"/>
          <w:lang w:val="en-US" w:eastAsia="zh-CN"/>
        </w:rPr>
        <w:t>人民网</w:t>
      </w:r>
      <w:r>
        <w:rPr>
          <w:rFonts w:hint="eastAsia" w:ascii="微软雅黑" w:hAnsi="微软雅黑" w:eastAsia="微软雅黑" w:cs="微软雅黑"/>
          <w:b/>
          <w:bCs/>
          <w:color w:val="auto"/>
          <w:sz w:val="32"/>
          <w:highlight w:val="none"/>
          <w:lang w:val="en-US" w:eastAsia="zh-CN"/>
        </w:rPr>
        <w:t>·</w:t>
      </w:r>
      <w:r>
        <w:rPr>
          <w:rFonts w:hint="eastAsia" w:cs="仿宋_GB2312"/>
          <w:color w:val="auto"/>
          <w:sz w:val="32"/>
          <w:highlight w:val="none"/>
          <w:lang w:val="en-US" w:eastAsia="zh-CN"/>
        </w:rPr>
        <w:t>人民健康</w:t>
      </w:r>
    </w:p>
    <w:p>
      <w:pPr>
        <w:spacing w:line="360" w:lineRule="auto"/>
        <w:ind w:firstLine="640" w:firstLineChars="200"/>
        <w:rPr>
          <w:rFonts w:ascii="黑体" w:hAnsi="黑体" w:eastAsia="黑体" w:cs="黑体"/>
          <w:color w:val="auto"/>
          <w:sz w:val="32"/>
          <w:highlight w:val="none"/>
        </w:rPr>
      </w:pPr>
      <w:r>
        <w:rPr>
          <w:rFonts w:hint="eastAsia" w:ascii="黑体" w:hAnsi="黑体" w:eastAsia="黑体" w:cs="黑体"/>
          <w:color w:val="auto"/>
          <w:sz w:val="32"/>
          <w:highlight w:val="none"/>
          <w:lang w:val="en-US" w:eastAsia="zh-CN"/>
        </w:rPr>
        <w:t>四</w:t>
      </w:r>
      <w:r>
        <w:rPr>
          <w:rFonts w:ascii="黑体" w:hAnsi="黑体" w:eastAsia="黑体" w:cs="黑体"/>
          <w:color w:val="auto"/>
          <w:sz w:val="32"/>
          <w:highlight w:val="none"/>
        </w:rPr>
        <w:t>、作品推荐</w:t>
      </w:r>
      <w:r>
        <w:rPr>
          <w:rFonts w:hint="eastAsia" w:ascii="黑体" w:hAnsi="黑体" w:eastAsia="黑体" w:cs="黑体"/>
          <w:color w:val="auto"/>
          <w:sz w:val="32"/>
          <w:highlight w:val="none"/>
        </w:rPr>
        <w:t>主题</w:t>
      </w:r>
    </w:p>
    <w:p>
      <w:pPr>
        <w:overflowPunct w:val="0"/>
        <w:spacing w:line="600" w:lineRule="exact"/>
        <w:ind w:firstLine="640"/>
        <w:rPr>
          <w:rFonts w:ascii="Times New Roman" w:hAnsi="Times New Roman" w:eastAsia="仿宋_GB2312"/>
          <w:color w:val="auto"/>
          <w:sz w:val="32"/>
          <w:szCs w:val="32"/>
          <w:highlight w:val="none"/>
        </w:rPr>
      </w:pPr>
      <w:r>
        <w:rPr>
          <w:rFonts w:ascii="Times New Roman" w:hAnsi="Times New Roman" w:eastAsia="仿宋_GB2312"/>
          <w:b/>
          <w:bCs/>
          <w:color w:val="auto"/>
          <w:sz w:val="32"/>
          <w:highlight w:val="none"/>
        </w:rPr>
        <w:t>（一）中医药基础知识：</w:t>
      </w:r>
      <w:r>
        <w:rPr>
          <w:rFonts w:ascii="Times New Roman" w:hAnsi="Times New Roman" w:eastAsia="仿宋_GB2312"/>
          <w:color w:val="auto"/>
          <w:sz w:val="32"/>
          <w:szCs w:val="32"/>
          <w:highlight w:val="none"/>
        </w:rPr>
        <w:t>介绍中医药历史和文化理念，挖掘阐释名医名家、经典医籍、传世名方、非遗项目等中医药经典元素，阐述中医对生命、健康、疾病的认识，介绍中草药的种植、炮制、性味、归经、功效与用法，方剂的配伍、功效与用法等。</w:t>
      </w:r>
    </w:p>
    <w:p>
      <w:pPr>
        <w:overflowPunct w:val="0"/>
        <w:spacing w:line="600" w:lineRule="exact"/>
        <w:ind w:firstLine="642" w:firstLineChars="200"/>
        <w:rPr>
          <w:rFonts w:ascii="Times New Roman" w:hAnsi="Times New Roman" w:eastAsia="仿宋_GB2312"/>
          <w:color w:val="auto"/>
          <w:sz w:val="32"/>
          <w:szCs w:val="32"/>
          <w:highlight w:val="none"/>
        </w:rPr>
      </w:pPr>
      <w:r>
        <w:rPr>
          <w:rFonts w:ascii="Times New Roman" w:hAnsi="Times New Roman" w:eastAsia="仿宋_GB2312"/>
          <w:b/>
          <w:bCs/>
          <w:color w:val="auto"/>
          <w:sz w:val="32"/>
          <w:highlight w:val="none"/>
        </w:rPr>
        <w:t>（二）常见疾病与重点人群的中医药养生保健理念和方法：</w:t>
      </w:r>
      <w:r>
        <w:rPr>
          <w:rFonts w:ascii="Times New Roman" w:hAnsi="Times New Roman" w:eastAsia="仿宋_GB2312"/>
          <w:color w:val="auto"/>
          <w:sz w:val="32"/>
          <w:szCs w:val="32"/>
          <w:highlight w:val="none"/>
        </w:rPr>
        <w:t>介绍中医药在癌症、心脑血管疾病、呼吸系统疾病等常见病的病因预防或危险因素干预、健康生活方式、家庭健康管理、康复等方面的基本理念与方法技术等；介绍老年人、妇女、儿童青少年等重点人群的日常中医药养生保健知识和方法，如食疗药膳、运动养生、心理调节等。</w:t>
      </w:r>
    </w:p>
    <w:p>
      <w:pPr>
        <w:spacing w:line="360" w:lineRule="auto"/>
        <w:ind w:firstLine="640"/>
        <w:jc w:val="left"/>
        <w:rPr>
          <w:rFonts w:ascii="黑体" w:hAnsi="黑体" w:eastAsia="黑体" w:cs="黑体"/>
          <w:color w:val="auto"/>
          <w:sz w:val="32"/>
          <w:highlight w:val="none"/>
        </w:rPr>
      </w:pPr>
      <w:r>
        <w:rPr>
          <w:rFonts w:hint="eastAsia" w:ascii="黑体" w:hAnsi="黑体" w:eastAsia="黑体" w:cs="黑体"/>
          <w:color w:val="auto"/>
          <w:sz w:val="32"/>
          <w:highlight w:val="none"/>
          <w:lang w:val="en-US" w:eastAsia="zh-CN"/>
        </w:rPr>
        <w:t>五</w:t>
      </w:r>
      <w:r>
        <w:rPr>
          <w:rFonts w:ascii="黑体" w:hAnsi="黑体" w:eastAsia="黑体" w:cs="黑体"/>
          <w:color w:val="auto"/>
          <w:sz w:val="32"/>
          <w:highlight w:val="none"/>
        </w:rPr>
        <w:t>、赛制、赛程</w:t>
      </w:r>
    </w:p>
    <w:p>
      <w:pPr>
        <w:pStyle w:val="3"/>
        <w:keepNext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="160" w:after="160" w:line="600" w:lineRule="exact"/>
        <w:ind w:firstLine="642" w:firstLineChars="200"/>
        <w:textAlignment w:val="auto"/>
        <w:rPr>
          <w:rFonts w:hint="eastAsia" w:ascii="楷体_GB2312" w:hAnsi="楷体_GB2312" w:eastAsia="楷体_GB2312" w:cs="楷体_GB2312"/>
          <w:b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bookmarkStart w:id="1" w:name="_Toc28699"/>
      <w:bookmarkStart w:id="2" w:name="_Toc20753"/>
      <w:bookmarkStart w:id="3" w:name="_Toc4105"/>
      <w:r>
        <w:rPr>
          <w:rFonts w:hint="eastAsia" w:ascii="楷体_GB2312" w:hAnsi="楷体_GB2312" w:eastAsia="楷体_GB2312" w:cs="楷体_GB2312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（一）赛制安排</w:t>
      </w:r>
      <w:bookmarkEnd w:id="1"/>
      <w:bookmarkEnd w:id="2"/>
      <w:bookmarkEnd w:id="3"/>
    </w:p>
    <w:p>
      <w:pPr>
        <w:pageBreakBefore w:val="0"/>
        <w:kinsoku/>
        <w:topLinePunct w:val="0"/>
        <w:spacing w:line="600" w:lineRule="exact"/>
        <w:ind w:firstLine="640"/>
        <w:rPr>
          <w:rFonts w:ascii="仿宋_GB2312" w:hAnsi="仿宋_GB2312" w:eastAsia="仿宋_GB2312" w:cs="仿宋_GB2312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  <w:t>大赛采用“分赛区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选拔赛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  <w:t>+全国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总决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  <w:t>赛”竞赛机制。经公开遴选，大赛将在全国设置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17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  <w:t>个分赛区。在设立有分赛区的省份，参赛选手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只得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  <w:t>在本省报名参加分赛区选拔；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  <w:t>未设立分赛区的省份，参赛选手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只得通过联合分赛区报名参加选拔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  <w:t>。</w:t>
      </w:r>
    </w:p>
    <w:p>
      <w:pPr>
        <w:pageBreakBefore w:val="0"/>
        <w:kinsoku/>
        <w:overflowPunct w:val="0"/>
        <w:topLinePunct w:val="0"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ascii="Times New Roman" w:hAnsi="Times New Roman" w:eastAsia="仿宋_GB2312"/>
          <w:sz w:val="32"/>
          <w:szCs w:val="32"/>
          <w:highlight w:val="none"/>
        </w:rPr>
        <w:t>各赛区按统一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的</w:t>
      </w:r>
      <w:r>
        <w:rPr>
          <w:rFonts w:ascii="Times New Roman" w:hAnsi="Times New Roman" w:eastAsia="仿宋_GB2312"/>
          <w:sz w:val="32"/>
          <w:szCs w:val="32"/>
          <w:highlight w:val="none"/>
        </w:rPr>
        <w:t>参赛规则和评分标准组织专家进行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作品</w:t>
      </w:r>
      <w:r>
        <w:rPr>
          <w:rFonts w:ascii="Times New Roman" w:hAnsi="Times New Roman" w:eastAsia="仿宋_GB2312"/>
          <w:sz w:val="32"/>
          <w:szCs w:val="32"/>
          <w:highlight w:val="none"/>
        </w:rPr>
        <w:t>评审，对本赛区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内</w:t>
      </w:r>
      <w:r>
        <w:rPr>
          <w:rFonts w:ascii="Times New Roman" w:hAnsi="Times New Roman" w:eastAsia="仿宋_GB2312"/>
          <w:sz w:val="32"/>
          <w:szCs w:val="32"/>
          <w:highlight w:val="none"/>
        </w:rPr>
        <w:t>申报作品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进行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审核把关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。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各赛区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按照</w:t>
      </w:r>
      <w:r>
        <w:rPr>
          <w:rFonts w:ascii="Times New Roman" w:hAnsi="Times New Roman" w:eastAsia="仿宋_GB2312"/>
          <w:sz w:val="32"/>
          <w:szCs w:val="32"/>
          <w:highlight w:val="none"/>
        </w:rPr>
        <w:t>不超过本赛区征集作品总数5%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且不超过3</w:t>
      </w:r>
      <w:r>
        <w:rPr>
          <w:rFonts w:ascii="Times New Roman" w:hAnsi="Times New Roman" w:eastAsia="仿宋_GB2312"/>
          <w:sz w:val="32"/>
          <w:szCs w:val="32"/>
          <w:highlight w:val="none"/>
        </w:rPr>
        <w:t>0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件的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数量原则，评审出各赛区优秀作品，并报送至主办方参加全国总决赛</w:t>
      </w:r>
      <w:r>
        <w:rPr>
          <w:rFonts w:ascii="Times New Roman" w:hAnsi="Times New Roman" w:eastAsia="仿宋_GB2312"/>
          <w:sz w:val="32"/>
          <w:szCs w:val="32"/>
          <w:highlight w:val="none"/>
        </w:rPr>
        <w:t>。</w:t>
      </w:r>
    </w:p>
    <w:p>
      <w:pPr>
        <w:pageBreakBefore w:val="0"/>
        <w:kinsoku/>
        <w:overflowPunct w:val="0"/>
        <w:topLinePunct w:val="0"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汇集分赛区全部优秀作品后，</w:t>
      </w:r>
      <w:r>
        <w:rPr>
          <w:rFonts w:ascii="Times New Roman" w:hAnsi="Times New Roman" w:eastAsia="仿宋_GB2312"/>
          <w:sz w:val="32"/>
          <w:szCs w:val="32"/>
          <w:highlight w:val="none"/>
        </w:rPr>
        <w:t>大赛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主办方组织审核、</w:t>
      </w:r>
      <w:r>
        <w:rPr>
          <w:rFonts w:ascii="Times New Roman" w:hAnsi="Times New Roman" w:eastAsia="仿宋_GB2312"/>
          <w:sz w:val="32"/>
          <w:szCs w:val="32"/>
          <w:highlight w:val="none"/>
        </w:rPr>
        <w:t>中央媒体网络展播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投票、线下评审，并结合线上投票与线下评审结果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，</w:t>
      </w:r>
      <w:r>
        <w:rPr>
          <w:rFonts w:ascii="Times New Roman" w:hAnsi="Times New Roman" w:eastAsia="仿宋_GB2312"/>
          <w:sz w:val="32"/>
          <w:szCs w:val="32"/>
          <w:highlight w:val="none"/>
        </w:rPr>
        <w:t>评选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全国总决赛</w:t>
      </w:r>
      <w:r>
        <w:rPr>
          <w:rFonts w:ascii="Times New Roman" w:hAnsi="Times New Roman" w:eastAsia="仿宋_GB2312"/>
          <w:sz w:val="32"/>
          <w:szCs w:val="32"/>
          <w:highlight w:val="none"/>
        </w:rPr>
        <w:t>获奖作品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。</w:t>
      </w:r>
      <w:r>
        <w:rPr>
          <w:rFonts w:ascii="Times New Roman" w:hAnsi="Times New Roman" w:eastAsia="仿宋_GB2312"/>
          <w:sz w:val="32"/>
          <w:szCs w:val="32"/>
          <w:highlight w:val="none"/>
        </w:rPr>
        <w:t>其中网络展播投票占总成绩30%，专家评分占总成绩70%。</w:t>
      </w:r>
    </w:p>
    <w:p>
      <w:pPr>
        <w:pStyle w:val="3"/>
        <w:pageBreakBefore w:val="0"/>
        <w:kinsoku/>
        <w:topLinePunct w:val="0"/>
        <w:spacing w:before="160" w:after="160" w:line="600" w:lineRule="exact"/>
        <w:ind w:firstLine="642" w:firstLineChars="200"/>
        <w:rPr>
          <w:rFonts w:hint="eastAsia" w:ascii="楷体_GB2312" w:hAnsi="楷体_GB2312" w:eastAsia="楷体_GB2312" w:cs="楷体_GB2312"/>
          <w:b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bookmarkStart w:id="4" w:name="_Toc610"/>
      <w:bookmarkStart w:id="5" w:name="_Toc12378"/>
      <w:bookmarkStart w:id="6" w:name="_Toc27505"/>
      <w:r>
        <w:rPr>
          <w:rFonts w:hint="eastAsia" w:ascii="楷体_GB2312" w:hAnsi="楷体_GB2312" w:eastAsia="楷体_GB2312" w:cs="楷体_GB2312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（二）赛程安排</w:t>
      </w:r>
      <w:bookmarkEnd w:id="4"/>
      <w:bookmarkEnd w:id="5"/>
      <w:bookmarkEnd w:id="6"/>
    </w:p>
    <w:p>
      <w:pPr>
        <w:pageBreakBefore w:val="0"/>
        <w:kinsoku/>
        <w:overflowPunct w:val="0"/>
        <w:topLinePunct w:val="0"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大赛计划于</w:t>
      </w:r>
      <w:r>
        <w:rPr>
          <w:rFonts w:ascii="Times New Roman" w:hAnsi="Times New Roman" w:eastAsia="仿宋_GB2312"/>
          <w:b/>
          <w:bCs/>
          <w:sz w:val="32"/>
          <w:szCs w:val="32"/>
          <w:highlight w:val="none"/>
        </w:rPr>
        <w:t>2025</w:t>
      </w:r>
      <w:r>
        <w:rPr>
          <w:rFonts w:hint="eastAsia" w:ascii="Times New Roman" w:hAnsi="Times New Roman" w:eastAsia="仿宋_GB2312"/>
          <w:b/>
          <w:bCs/>
          <w:sz w:val="32"/>
          <w:szCs w:val="32"/>
          <w:highlight w:val="none"/>
        </w:rPr>
        <w:t>年</w:t>
      </w:r>
      <w:r>
        <w:rPr>
          <w:rFonts w:ascii="Times New Roman" w:hAnsi="Times New Roman" w:eastAsia="仿宋_GB2312"/>
          <w:b/>
          <w:bCs/>
          <w:sz w:val="32"/>
          <w:szCs w:val="32"/>
          <w:highlight w:val="none"/>
        </w:rPr>
        <w:t>5</w:t>
      </w:r>
      <w:r>
        <w:rPr>
          <w:rFonts w:hint="eastAsia" w:ascii="Times New Roman" w:hAnsi="Times New Roman" w:eastAsia="仿宋_GB2312"/>
          <w:b/>
          <w:bCs/>
          <w:sz w:val="32"/>
          <w:szCs w:val="32"/>
          <w:highlight w:val="none"/>
        </w:rPr>
        <w:t>月</w:t>
      </w:r>
      <w:r>
        <w:rPr>
          <w:rFonts w:ascii="Times New Roman" w:hAnsi="Times New Roman" w:eastAsia="仿宋_GB2312"/>
          <w:b/>
          <w:bCs/>
          <w:sz w:val="32"/>
          <w:szCs w:val="32"/>
          <w:highlight w:val="none"/>
        </w:rPr>
        <w:t>—2025</w:t>
      </w:r>
      <w:r>
        <w:rPr>
          <w:rFonts w:hint="eastAsia" w:ascii="Times New Roman" w:hAnsi="Times New Roman" w:eastAsia="仿宋_GB2312"/>
          <w:b/>
          <w:bCs/>
          <w:sz w:val="32"/>
          <w:szCs w:val="32"/>
          <w:highlight w:val="none"/>
        </w:rPr>
        <w:t>年</w:t>
      </w:r>
      <w:r>
        <w:rPr>
          <w:rFonts w:ascii="Times New Roman" w:hAnsi="Times New Roman" w:eastAsia="仿宋_GB2312"/>
          <w:b/>
          <w:bCs/>
          <w:sz w:val="32"/>
          <w:szCs w:val="32"/>
          <w:highlight w:val="none"/>
        </w:rPr>
        <w:t>12</w:t>
      </w:r>
      <w:r>
        <w:rPr>
          <w:rFonts w:hint="eastAsia" w:ascii="Times New Roman" w:hAnsi="Times New Roman" w:eastAsia="仿宋_GB2312"/>
          <w:b/>
          <w:bCs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举办：</w:t>
      </w:r>
    </w:p>
    <w:p>
      <w:pPr>
        <w:pageBreakBefore w:val="0"/>
        <w:kinsoku/>
        <w:overflowPunct w:val="0"/>
        <w:topLinePunct w:val="0"/>
        <w:spacing w:line="600" w:lineRule="exact"/>
        <w:ind w:firstLine="642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b/>
          <w:bCs/>
          <w:sz w:val="32"/>
          <w:szCs w:val="32"/>
          <w:highlight w:val="none"/>
        </w:rPr>
        <w:t>第一阶段：遴选分赛区及赛前工作培训（202</w:t>
      </w:r>
      <w:r>
        <w:rPr>
          <w:rFonts w:ascii="Times New Roman" w:hAnsi="Times New Roman" w:eastAsia="仿宋_GB2312"/>
          <w:b/>
          <w:bCs/>
          <w:sz w:val="32"/>
          <w:szCs w:val="32"/>
          <w:highlight w:val="none"/>
        </w:rPr>
        <w:t>5</w:t>
      </w:r>
      <w:r>
        <w:rPr>
          <w:rFonts w:hint="eastAsia" w:ascii="Times New Roman" w:hAnsi="Times New Roman" w:eastAsia="仿宋_GB2312"/>
          <w:b/>
          <w:bCs/>
          <w:sz w:val="32"/>
          <w:szCs w:val="32"/>
          <w:highlight w:val="none"/>
        </w:rPr>
        <w:t>年</w:t>
      </w:r>
      <w:r>
        <w:rPr>
          <w:rFonts w:ascii="Times New Roman" w:hAnsi="Times New Roman" w:eastAsia="仿宋_GB2312"/>
          <w:b/>
          <w:bCs/>
          <w:sz w:val="32"/>
          <w:szCs w:val="32"/>
          <w:highlight w:val="none"/>
        </w:rPr>
        <w:t>5</w:t>
      </w:r>
      <w:r>
        <w:rPr>
          <w:rFonts w:hint="eastAsia" w:ascii="Times New Roman" w:hAnsi="Times New Roman" w:eastAsia="仿宋_GB2312"/>
          <w:b/>
          <w:bCs/>
          <w:sz w:val="32"/>
          <w:szCs w:val="32"/>
          <w:highlight w:val="none"/>
        </w:rPr>
        <w:t>月</w:t>
      </w:r>
      <w:r>
        <w:rPr>
          <w:rFonts w:ascii="Times New Roman" w:hAnsi="Times New Roman" w:eastAsia="仿宋_GB2312"/>
          <w:b/>
          <w:bCs/>
          <w:sz w:val="32"/>
          <w:szCs w:val="32"/>
          <w:highlight w:val="none"/>
        </w:rPr>
        <w:t>—</w:t>
      </w:r>
      <w:r>
        <w:rPr>
          <w:rFonts w:hint="eastAsia" w:ascii="Times New Roman" w:hAnsi="Times New Roman" w:eastAsia="仿宋_GB2312"/>
          <w:b/>
          <w:bCs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Times New Roman" w:hAnsi="Times New Roman" w:eastAsia="仿宋_GB2312"/>
          <w:b/>
          <w:bCs/>
          <w:sz w:val="32"/>
          <w:szCs w:val="32"/>
          <w:highlight w:val="none"/>
        </w:rPr>
        <w:t>月）。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主办方面向全国公开遴选分赛区承办单位，根据各单位申报情况，确定分赛区设置。</w:t>
      </w:r>
    </w:p>
    <w:p>
      <w:pPr>
        <w:pageBreakBefore w:val="0"/>
        <w:kinsoku/>
        <w:overflowPunct w:val="0"/>
        <w:topLinePunct w:val="0"/>
        <w:spacing w:line="600" w:lineRule="exact"/>
        <w:ind w:firstLine="642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b/>
          <w:bCs/>
          <w:sz w:val="32"/>
          <w:szCs w:val="32"/>
          <w:highlight w:val="none"/>
        </w:rPr>
        <w:t>第二阶段：分赛区作品征集及选拔阶段（202</w:t>
      </w:r>
      <w:r>
        <w:rPr>
          <w:rFonts w:ascii="Times New Roman" w:hAnsi="Times New Roman" w:eastAsia="仿宋_GB2312"/>
          <w:b/>
          <w:bCs/>
          <w:sz w:val="32"/>
          <w:szCs w:val="32"/>
          <w:highlight w:val="none"/>
        </w:rPr>
        <w:t>5</w:t>
      </w:r>
      <w:r>
        <w:rPr>
          <w:rFonts w:hint="eastAsia" w:ascii="Times New Roman" w:hAnsi="Times New Roman" w:eastAsia="仿宋_GB2312"/>
          <w:b/>
          <w:bCs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仿宋_GB2312"/>
          <w:b/>
          <w:bCs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Times New Roman" w:hAnsi="Times New Roman" w:eastAsia="仿宋_GB2312"/>
          <w:b/>
          <w:bCs/>
          <w:sz w:val="32"/>
          <w:szCs w:val="32"/>
          <w:highlight w:val="none"/>
        </w:rPr>
        <w:t>月—</w:t>
      </w:r>
      <w:r>
        <w:rPr>
          <w:rFonts w:ascii="Times New Roman" w:hAnsi="Times New Roman" w:eastAsia="仿宋_GB2312"/>
          <w:b/>
          <w:bCs/>
          <w:sz w:val="32"/>
          <w:szCs w:val="32"/>
          <w:highlight w:val="none"/>
        </w:rPr>
        <w:t>10</w:t>
      </w:r>
      <w:r>
        <w:rPr>
          <w:rFonts w:hint="eastAsia" w:ascii="Times New Roman" w:hAnsi="Times New Roman" w:eastAsia="仿宋_GB2312"/>
          <w:b/>
          <w:bCs/>
          <w:sz w:val="32"/>
          <w:szCs w:val="32"/>
          <w:highlight w:val="none"/>
        </w:rPr>
        <w:t>月）。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各赛区在做好本赛区作品征集、专家评审等，并按要求报送入围全国总决赛作品。</w:t>
      </w:r>
    </w:p>
    <w:p>
      <w:pPr>
        <w:spacing w:line="360" w:lineRule="auto"/>
        <w:ind w:firstLine="642" w:firstLineChars="200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b/>
          <w:bCs/>
          <w:sz w:val="32"/>
          <w:szCs w:val="32"/>
          <w:highlight w:val="none"/>
        </w:rPr>
        <w:t>第三阶段：全国总决赛及结果公示（202</w:t>
      </w:r>
      <w:r>
        <w:rPr>
          <w:rFonts w:ascii="Times New Roman" w:hAnsi="Times New Roman" w:eastAsia="仿宋_GB2312"/>
          <w:b/>
          <w:bCs/>
          <w:sz w:val="32"/>
          <w:szCs w:val="32"/>
          <w:highlight w:val="none"/>
        </w:rPr>
        <w:t>5</w:t>
      </w:r>
      <w:r>
        <w:rPr>
          <w:rFonts w:hint="eastAsia" w:ascii="Times New Roman" w:hAnsi="Times New Roman" w:eastAsia="仿宋_GB2312"/>
          <w:b/>
          <w:bCs/>
          <w:sz w:val="32"/>
          <w:szCs w:val="32"/>
          <w:highlight w:val="none"/>
        </w:rPr>
        <w:t>年</w:t>
      </w:r>
      <w:r>
        <w:rPr>
          <w:rFonts w:ascii="Times New Roman" w:hAnsi="Times New Roman" w:eastAsia="仿宋_GB2312"/>
          <w:b/>
          <w:bCs/>
          <w:sz w:val="32"/>
          <w:szCs w:val="32"/>
          <w:highlight w:val="none"/>
        </w:rPr>
        <w:t>11</w:t>
      </w:r>
      <w:r>
        <w:rPr>
          <w:rFonts w:hint="eastAsia" w:ascii="Times New Roman" w:hAnsi="Times New Roman" w:eastAsia="仿宋_GB2312"/>
          <w:b/>
          <w:bCs/>
          <w:sz w:val="32"/>
          <w:szCs w:val="32"/>
          <w:highlight w:val="none"/>
        </w:rPr>
        <w:t>月—</w:t>
      </w:r>
      <w:r>
        <w:rPr>
          <w:rFonts w:ascii="Times New Roman" w:hAnsi="Times New Roman" w:eastAsia="仿宋_GB2312"/>
          <w:b/>
          <w:bCs/>
          <w:sz w:val="32"/>
          <w:szCs w:val="32"/>
          <w:highlight w:val="none"/>
        </w:rPr>
        <w:t>12</w:t>
      </w:r>
      <w:r>
        <w:rPr>
          <w:rFonts w:hint="eastAsia" w:ascii="Times New Roman" w:hAnsi="Times New Roman" w:eastAsia="仿宋_GB2312"/>
          <w:b/>
          <w:bCs/>
          <w:sz w:val="32"/>
          <w:szCs w:val="32"/>
          <w:highlight w:val="none"/>
        </w:rPr>
        <w:t>月）。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入围全国总决赛的作品，经线上展播，专家评审后，确定最终获奖作品名单并予以公布。</w:t>
      </w:r>
    </w:p>
    <w:p>
      <w:pPr>
        <w:spacing w:line="360" w:lineRule="auto"/>
        <w:ind w:firstLine="640" w:firstLineChars="200"/>
        <w:rPr>
          <w:rFonts w:ascii="黑体" w:hAnsi="黑体" w:eastAsia="黑体" w:cs="黑体"/>
          <w:color w:val="auto"/>
          <w:sz w:val="32"/>
          <w:highlight w:val="none"/>
        </w:rPr>
      </w:pPr>
      <w:r>
        <w:rPr>
          <w:rFonts w:hint="eastAsia" w:ascii="黑体" w:hAnsi="黑体" w:eastAsia="黑体" w:cs="黑体"/>
          <w:color w:val="auto"/>
          <w:sz w:val="32"/>
          <w:highlight w:val="none"/>
          <w:lang w:val="en-US" w:eastAsia="zh-CN"/>
        </w:rPr>
        <w:t>六</w:t>
      </w:r>
      <w:r>
        <w:rPr>
          <w:rFonts w:ascii="黑体" w:hAnsi="黑体" w:eastAsia="黑体" w:cs="黑体"/>
          <w:color w:val="auto"/>
          <w:sz w:val="32"/>
          <w:highlight w:val="none"/>
        </w:rPr>
        <w:t>、征集作品要求</w:t>
      </w:r>
    </w:p>
    <w:p>
      <w:pPr>
        <w:pageBreakBefore w:val="0"/>
        <w:kinsoku/>
        <w:overflowPunct w:val="0"/>
        <w:topLinePunct w:val="0"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ascii="Times New Roman" w:hAnsi="Times New Roman" w:eastAsia="仿宋_GB2312"/>
          <w:sz w:val="32"/>
          <w:szCs w:val="32"/>
          <w:highlight w:val="none"/>
        </w:rPr>
        <w:t>（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1</w:t>
      </w:r>
      <w:r>
        <w:rPr>
          <w:rFonts w:ascii="Times New Roman" w:hAnsi="Times New Roman" w:eastAsia="仿宋_GB2312"/>
          <w:sz w:val="32"/>
          <w:szCs w:val="32"/>
          <w:highlight w:val="none"/>
        </w:rPr>
        <w:t>）征集和推荐的科普作品须符合党的路线、方针、政策，符合国家法律、法规。</w:t>
      </w:r>
    </w:p>
    <w:p>
      <w:pPr>
        <w:pageBreakBefore w:val="0"/>
        <w:kinsoku/>
        <w:overflowPunct w:val="0"/>
        <w:topLinePunct w:val="0"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ascii="Times New Roman" w:hAnsi="Times New Roman" w:eastAsia="仿宋_GB2312"/>
          <w:sz w:val="32"/>
          <w:szCs w:val="32"/>
          <w:highlight w:val="none"/>
        </w:rPr>
        <w:t>（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2</w:t>
      </w:r>
      <w:r>
        <w:rPr>
          <w:rFonts w:ascii="Times New Roman" w:hAnsi="Times New Roman" w:eastAsia="仿宋_GB2312"/>
          <w:sz w:val="32"/>
          <w:szCs w:val="32"/>
          <w:highlight w:val="none"/>
        </w:rPr>
        <w:t>）参赛作品以中医药科普为主，内容短而精，兼具思想性、科学性、新颖性、通俗性、趣味性，作品形式可为纪录短片、DV短片、视频剪辑、动画、动漫等，鼓励多元的表现形式与创作手法。</w:t>
      </w:r>
    </w:p>
    <w:p>
      <w:pPr>
        <w:pageBreakBefore w:val="0"/>
        <w:kinsoku/>
        <w:overflowPunct w:val="0"/>
        <w:topLinePunct w:val="0"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ascii="Times New Roman" w:hAnsi="Times New Roman" w:eastAsia="仿宋_GB2312"/>
          <w:sz w:val="32"/>
          <w:szCs w:val="32"/>
          <w:highlight w:val="none"/>
        </w:rPr>
        <w:t>（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3</w:t>
      </w:r>
      <w:r>
        <w:rPr>
          <w:rFonts w:ascii="Times New Roman" w:hAnsi="Times New Roman" w:eastAsia="仿宋_GB2312"/>
          <w:sz w:val="32"/>
          <w:szCs w:val="32"/>
          <w:highlight w:val="none"/>
        </w:rPr>
        <w:t>）参赛作品须加强内容审核，不可夹杂药品、平台等商业宣传推广内容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；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除科学家精神主题作品外，不得以视频水印、片段、字幕、边框logo等形式出现个人、团队及机构信息；</w:t>
      </w:r>
      <w:r>
        <w:rPr>
          <w:rFonts w:ascii="Times New Roman" w:hAnsi="Times New Roman" w:eastAsia="仿宋_GB2312"/>
          <w:sz w:val="32"/>
          <w:szCs w:val="32"/>
          <w:highlight w:val="none"/>
        </w:rPr>
        <w:t>不得使用不规范地图，不得滥用红十字标识以及不规范医疗机构标识，不得含有色情低俗、暴力血腥、个人隐私等内容，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涉及</w:t>
      </w:r>
      <w:r>
        <w:rPr>
          <w:rFonts w:ascii="Times New Roman" w:hAnsi="Times New Roman" w:eastAsia="仿宋_GB2312"/>
          <w:sz w:val="32"/>
          <w:szCs w:val="32"/>
          <w:highlight w:val="none"/>
        </w:rPr>
        <w:t>数据的内容，须注明权威来源。</w:t>
      </w:r>
    </w:p>
    <w:p>
      <w:pPr>
        <w:pageBreakBefore w:val="0"/>
        <w:kinsoku/>
        <w:overflowPunct w:val="0"/>
        <w:topLinePunct w:val="0"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ascii="Times New Roman" w:hAnsi="Times New Roman" w:eastAsia="仿宋_GB2312"/>
          <w:sz w:val="32"/>
          <w:szCs w:val="32"/>
          <w:highlight w:val="none"/>
        </w:rPr>
        <w:t>（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4</w:t>
      </w:r>
      <w:r>
        <w:rPr>
          <w:rFonts w:ascii="Times New Roman" w:hAnsi="Times New Roman" w:eastAsia="仿宋_GB2312"/>
          <w:sz w:val="32"/>
          <w:szCs w:val="32"/>
          <w:highlight w:val="none"/>
        </w:rPr>
        <w:t>）参赛作品中出现的视频及图片均需拥有使用版权，不建议出现影视作品、明星、表情包等版权不清晰的内容；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涉及</w:t>
      </w:r>
      <w:r>
        <w:rPr>
          <w:rFonts w:ascii="Times New Roman" w:hAnsi="Times New Roman" w:eastAsia="仿宋_GB2312"/>
          <w:sz w:val="32"/>
          <w:szCs w:val="32"/>
          <w:highlight w:val="none"/>
        </w:rPr>
        <w:t>真实人物形象时，需要拥有肖像使用权，提交个人肖像权使用授权书。</w:t>
      </w:r>
    </w:p>
    <w:p>
      <w:pPr>
        <w:pageBreakBefore w:val="0"/>
        <w:kinsoku/>
        <w:overflowPunct w:val="0"/>
        <w:topLinePunct w:val="0"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ascii="Times New Roman" w:hAnsi="Times New Roman" w:eastAsia="仿宋_GB2312"/>
          <w:sz w:val="32"/>
          <w:szCs w:val="32"/>
          <w:highlight w:val="none"/>
        </w:rPr>
        <w:t>（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5</w:t>
      </w:r>
      <w:r>
        <w:rPr>
          <w:rFonts w:ascii="Times New Roman" w:hAnsi="Times New Roman" w:eastAsia="仿宋_GB2312"/>
          <w:sz w:val="32"/>
          <w:szCs w:val="32"/>
          <w:highlight w:val="none"/>
        </w:rPr>
        <w:t>）视频要求画面质量优，构图合理，横屏模式，字幕及配乐得当，为MOV或MP4格式的1080P高清影像。单个视频大小不得超过400兆，原则上视频时长不超过4分钟。</w:t>
      </w:r>
    </w:p>
    <w:p>
      <w:pPr>
        <w:pageBreakBefore w:val="0"/>
        <w:kinsoku/>
        <w:overflowPunct w:val="0"/>
        <w:topLinePunct w:val="0"/>
        <w:spacing w:line="600" w:lineRule="exact"/>
        <w:ind w:firstLine="640" w:firstLineChars="200"/>
        <w:rPr>
          <w:rFonts w:hint="default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ascii="Times New Roman" w:hAnsi="Times New Roman" w:eastAsia="仿宋_GB2312"/>
          <w:sz w:val="32"/>
          <w:szCs w:val="32"/>
          <w:highlight w:val="none"/>
        </w:rPr>
        <w:t>（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6</w:t>
      </w:r>
      <w:r>
        <w:rPr>
          <w:rFonts w:ascii="Times New Roman" w:hAnsi="Times New Roman" w:eastAsia="仿宋_GB2312"/>
          <w:sz w:val="32"/>
          <w:szCs w:val="32"/>
          <w:highlight w:val="none"/>
        </w:rPr>
        <w:t>）视频中的文字语言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提倡使用</w:t>
      </w:r>
      <w:r>
        <w:rPr>
          <w:rFonts w:ascii="Times New Roman" w:hAnsi="Times New Roman" w:eastAsia="仿宋_GB2312"/>
          <w:sz w:val="32"/>
          <w:szCs w:val="32"/>
          <w:highlight w:val="none"/>
        </w:rPr>
        <w:t>简体中文，配中文字幕。配音和解说使用普通话。</w:t>
      </w:r>
    </w:p>
    <w:p>
      <w:pPr>
        <w:spacing w:line="360" w:lineRule="auto"/>
        <w:ind w:firstLine="640"/>
        <w:rPr>
          <w:rFonts w:ascii="黑体" w:hAnsi="黑体" w:eastAsia="黑体" w:cs="黑体"/>
          <w:color w:val="auto"/>
          <w:sz w:val="32"/>
          <w:highlight w:val="none"/>
        </w:rPr>
      </w:pPr>
      <w:r>
        <w:rPr>
          <w:rFonts w:hint="eastAsia" w:ascii="黑体" w:hAnsi="黑体" w:eastAsia="黑体" w:cs="黑体"/>
          <w:color w:val="auto"/>
          <w:sz w:val="32"/>
          <w:highlight w:val="none"/>
          <w:lang w:val="en-US" w:eastAsia="zh-CN"/>
        </w:rPr>
        <w:t>七</w:t>
      </w:r>
      <w:r>
        <w:rPr>
          <w:rFonts w:ascii="黑体" w:hAnsi="黑体" w:eastAsia="黑体" w:cs="黑体"/>
          <w:color w:val="auto"/>
          <w:sz w:val="32"/>
          <w:highlight w:val="none"/>
        </w:rPr>
        <w:t>、奖项设置</w:t>
      </w:r>
    </w:p>
    <w:p>
      <w:pPr>
        <w:pageBreakBefore w:val="0"/>
        <w:kinsoku/>
        <w:overflowPunct w:val="0"/>
        <w:topLinePunct w:val="0"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大赛总决赛设立一等奖、二等奖、三等奖、最佳人气奖、最佳创意奖。此外设立优秀组织奖若干名。</w:t>
      </w:r>
    </w:p>
    <w:p>
      <w:pPr>
        <w:spacing w:line="360" w:lineRule="auto"/>
        <w:ind w:firstLine="640" w:firstLineChars="200"/>
        <w:rPr>
          <w:rFonts w:ascii="黑体" w:hAnsi="黑体" w:eastAsia="黑体" w:cs="黑体"/>
          <w:color w:val="auto"/>
          <w:sz w:val="32"/>
          <w:highlight w:val="none"/>
        </w:rPr>
      </w:pPr>
      <w:r>
        <w:rPr>
          <w:rFonts w:hint="eastAsia" w:ascii="黑体" w:hAnsi="黑体" w:eastAsia="黑体" w:cs="黑体"/>
          <w:color w:val="auto"/>
          <w:sz w:val="32"/>
          <w:highlight w:val="none"/>
          <w:lang w:val="en-US" w:eastAsia="zh-CN"/>
        </w:rPr>
        <w:t>八</w:t>
      </w:r>
      <w:r>
        <w:rPr>
          <w:rFonts w:ascii="黑体" w:hAnsi="黑体" w:eastAsia="黑体" w:cs="黑体"/>
          <w:color w:val="auto"/>
          <w:sz w:val="32"/>
          <w:highlight w:val="none"/>
        </w:rPr>
        <w:t>、媒体</w:t>
      </w:r>
      <w:r>
        <w:rPr>
          <w:rFonts w:hint="eastAsia" w:ascii="黑体" w:hAnsi="黑体" w:eastAsia="黑体" w:cs="黑体"/>
          <w:color w:val="auto"/>
          <w:sz w:val="32"/>
          <w:highlight w:val="none"/>
        </w:rPr>
        <w:t>宣传</w:t>
      </w:r>
    </w:p>
    <w:p>
      <w:pPr>
        <w:overflowPunct w:val="0"/>
        <w:spacing w:line="600" w:lineRule="exact"/>
        <w:ind w:firstLine="640" w:firstLineChars="200"/>
        <w:rPr>
          <w:rFonts w:ascii="Times New Roman" w:hAnsi="Times New Roman" w:eastAsia="仿宋_GB2312"/>
          <w:color w:val="auto"/>
          <w:sz w:val="32"/>
          <w:szCs w:val="32"/>
          <w:highlight w:val="none"/>
        </w:rPr>
      </w:pPr>
      <w:r>
        <w:rPr>
          <w:rFonts w:ascii="Times New Roman" w:hAnsi="Times New Roman" w:eastAsia="仿宋_GB2312"/>
          <w:color w:val="auto"/>
          <w:sz w:val="32"/>
          <w:szCs w:val="32"/>
          <w:highlight w:val="none"/>
        </w:rPr>
        <w:t>通过大赛主办方、承办方的官方网站、官方微信公众号、官方抖音账号等平台保障赛前预热效果和赛中、赛后的宣传力度。同时，充分发挥中央主流媒体等多种宣传渠道，提高公众对大赛的关注度和参与度，扩大大赛影响力。</w:t>
      </w:r>
    </w:p>
    <w:p>
      <w:pPr>
        <w:spacing w:line="360" w:lineRule="auto"/>
        <w:ind w:firstLine="640" w:firstLineChars="200"/>
        <w:rPr>
          <w:rFonts w:ascii="黑体" w:hAnsi="黑体" w:eastAsia="黑体" w:cs="黑体"/>
          <w:color w:val="auto"/>
          <w:sz w:val="32"/>
          <w:highlight w:val="none"/>
        </w:rPr>
      </w:pPr>
      <w:r>
        <w:rPr>
          <w:rFonts w:hint="eastAsia" w:ascii="黑体" w:hAnsi="黑体" w:eastAsia="黑体" w:cs="黑体"/>
          <w:color w:val="auto"/>
          <w:sz w:val="32"/>
          <w:highlight w:val="none"/>
          <w:lang w:val="en-US" w:eastAsia="zh-CN"/>
        </w:rPr>
        <w:t>九</w:t>
      </w:r>
      <w:r>
        <w:rPr>
          <w:rFonts w:ascii="黑体" w:hAnsi="黑体" w:eastAsia="黑体" w:cs="黑体"/>
          <w:color w:val="auto"/>
          <w:sz w:val="32"/>
          <w:highlight w:val="none"/>
        </w:rPr>
        <w:t>、注意事项</w:t>
      </w:r>
    </w:p>
    <w:bookmarkEnd w:id="0"/>
    <w:p>
      <w:pPr>
        <w:overflowPunct w:val="0"/>
        <w:spacing w:line="600" w:lineRule="exact"/>
        <w:ind w:firstLine="640" w:firstLineChars="200"/>
        <w:rPr>
          <w:rFonts w:ascii="Times New Roman" w:hAnsi="Times New Roman" w:eastAsia="仿宋_GB2312"/>
          <w:color w:val="auto"/>
          <w:sz w:val="32"/>
          <w:szCs w:val="32"/>
          <w:highlight w:val="none"/>
        </w:rPr>
      </w:pPr>
      <w:r>
        <w:rPr>
          <w:rFonts w:ascii="Times New Roman" w:hAnsi="Times New Roman" w:eastAsia="仿宋_GB2312"/>
          <w:color w:val="auto"/>
          <w:sz w:val="32"/>
          <w:szCs w:val="32"/>
          <w:highlight w:val="none"/>
        </w:rPr>
        <w:t>（一）参赛作品要严格符合征集要求，凡不符合要求的将自动取消参赛资格。各地各单位要严格把关，确保报送作品的科学性、原创性。</w:t>
      </w:r>
    </w:p>
    <w:p>
      <w:pPr>
        <w:overflowPunct w:val="0"/>
        <w:spacing w:line="600" w:lineRule="exact"/>
        <w:ind w:firstLine="640" w:firstLineChars="200"/>
        <w:rPr>
          <w:rFonts w:ascii="Times New Roman" w:hAnsi="Times New Roman" w:eastAsia="仿宋_GB2312"/>
          <w:color w:val="auto"/>
          <w:sz w:val="32"/>
          <w:szCs w:val="32"/>
          <w:highlight w:val="none"/>
        </w:rPr>
      </w:pPr>
      <w:r>
        <w:rPr>
          <w:rFonts w:ascii="Times New Roman" w:hAnsi="Times New Roman" w:eastAsia="仿宋_GB2312"/>
          <w:color w:val="auto"/>
          <w:sz w:val="32"/>
          <w:szCs w:val="32"/>
          <w:highlight w:val="none"/>
        </w:rPr>
        <w:t>（二）参赛者必须保证作品的原创性，不得侵犯任何第三方的知识产权或其他权利。如提供的内容违反我国现行法律法规或因侵犯第三方合法权益而导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eastAsia="zh-CN"/>
        </w:rPr>
        <w:t>致的</w:t>
      </w:r>
      <w:r>
        <w:rPr>
          <w:rFonts w:ascii="Times New Roman" w:hAnsi="Times New Roman" w:eastAsia="仿宋_GB2312"/>
          <w:color w:val="auto"/>
          <w:sz w:val="32"/>
          <w:szCs w:val="32"/>
          <w:highlight w:val="none"/>
        </w:rPr>
        <w:t>任何争议、索赔、诉讼等后果，由作者或推荐单位承担法律责任，大赛主办方和承办方不承担任何法律责任。</w:t>
      </w:r>
    </w:p>
    <w:p>
      <w:pPr>
        <w:overflowPunct w:val="0"/>
        <w:spacing w:line="600" w:lineRule="exact"/>
        <w:ind w:firstLine="640" w:firstLineChars="200"/>
        <w:rPr>
          <w:rFonts w:ascii="Times New Roman" w:hAnsi="Times New Roman" w:eastAsia="仿宋_GB2312"/>
          <w:color w:val="auto"/>
          <w:sz w:val="32"/>
          <w:szCs w:val="32"/>
          <w:highlight w:val="none"/>
        </w:rPr>
      </w:pPr>
      <w:r>
        <w:rPr>
          <w:rFonts w:ascii="Times New Roman" w:hAnsi="Times New Roman" w:eastAsia="仿宋_GB2312"/>
          <w:color w:val="auto"/>
          <w:sz w:val="32"/>
          <w:szCs w:val="32"/>
          <w:highlight w:val="none"/>
        </w:rPr>
        <w:t>（三）大赛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val="en-US" w:eastAsia="zh-CN"/>
        </w:rPr>
        <w:t>主办方</w:t>
      </w:r>
      <w:r>
        <w:rPr>
          <w:rFonts w:ascii="Times New Roman" w:hAnsi="Times New Roman" w:eastAsia="仿宋_GB2312"/>
          <w:color w:val="auto"/>
          <w:sz w:val="32"/>
          <w:szCs w:val="32"/>
          <w:highlight w:val="none"/>
        </w:rPr>
        <w:t>不收取任何参赛费用，所有报送作品一律不予退还。报送作品均视为获得推荐和制作单位或个人的同意，大赛主办方享有参赛作品的使用权，有权将参赛作品用于宣传展示，且不向参赛者支付相关费用。</w:t>
      </w:r>
    </w:p>
    <w:p>
      <w:pPr>
        <w:ind w:firstLine="640" w:firstLineChars="200"/>
        <w:rPr>
          <w:rFonts w:ascii="Times New Roman" w:hAnsi="Times New Roman" w:eastAsia="仿宋_GB2312"/>
          <w:color w:val="auto"/>
          <w:sz w:val="32"/>
          <w:szCs w:val="32"/>
          <w:highlight w:val="none"/>
        </w:rPr>
      </w:pPr>
      <w:r>
        <w:rPr>
          <w:rFonts w:ascii="Times New Roman" w:hAnsi="Times New Roman" w:eastAsia="仿宋_GB2312"/>
          <w:color w:val="auto"/>
          <w:sz w:val="32"/>
          <w:szCs w:val="32"/>
          <w:highlight w:val="none"/>
        </w:rPr>
        <w:t>（四）大赛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val="en-US" w:eastAsia="zh-CN"/>
        </w:rPr>
        <w:t>主办方</w:t>
      </w:r>
      <w:r>
        <w:rPr>
          <w:rFonts w:ascii="Times New Roman" w:hAnsi="Times New Roman" w:eastAsia="仿宋_GB2312"/>
          <w:color w:val="auto"/>
          <w:sz w:val="32"/>
          <w:szCs w:val="32"/>
          <w:highlight w:val="none"/>
        </w:rPr>
        <w:t>拥有本次大赛活动的最终解释权。</w:t>
      </w:r>
    </w:p>
    <w:p>
      <w:pPr>
        <w:ind w:firstLine="640" w:firstLineChars="200"/>
        <w:rPr>
          <w:rFonts w:ascii="黑体" w:hAnsi="黑体" w:eastAsia="黑体" w:cs="黑体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十、联系方式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 xml:space="preserve">联 系 人：靳嘉麟  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杨燕</w:t>
      </w:r>
    </w:p>
    <w:p>
      <w:pPr>
        <w:spacing w:line="360" w:lineRule="auto"/>
        <w:ind w:firstLine="640" w:firstLineChars="200"/>
        <w:rPr>
          <w:rFonts w:hint="default" w:ascii="仿宋_GB2312" w:hAnsi="仿宋_GB2312" w:eastAsia="仿宋_GB2312" w:cs="仿宋_GB2312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联系电话：010-64175385,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15652609063</w:t>
      </w: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电子邮箱：syjy@tcm.cn</w:t>
      </w:r>
    </w:p>
    <w:p>
      <w:pPr>
        <w:rPr>
          <w:rFonts w:ascii="黑体" w:hAnsi="黑体" w:eastAsia="黑体" w:cs="黑体"/>
          <w:color w:val="auto"/>
          <w:sz w:val="32"/>
          <w:szCs w:val="32"/>
          <w:highlight w:val="none"/>
        </w:rPr>
      </w:pPr>
    </w:p>
    <w:tbl>
      <w:tblPr>
        <w:tblStyle w:val="8"/>
        <w:tblW w:w="885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6"/>
        <w:gridCol w:w="713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6" w:type="dxa"/>
          </w:tcPr>
          <w:p>
            <w:pPr>
              <w:ind w:firstLine="640" w:firstLineChars="200"/>
              <w:rPr>
                <w:rFonts w:ascii="黑体" w:hAnsi="黑体" w:eastAsia="黑体" w:cs="黑体"/>
                <w:color w:val="auto"/>
                <w:sz w:val="32"/>
                <w:szCs w:val="32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  <w:t>附件：</w:t>
            </w:r>
          </w:p>
        </w:tc>
        <w:tc>
          <w:tcPr>
            <w:tcW w:w="7138" w:type="dxa"/>
          </w:tcPr>
          <w:p>
            <w:pPr>
              <w:rPr>
                <w:rFonts w:ascii="黑体" w:hAnsi="黑体" w:eastAsia="黑体" w:cs="黑体"/>
                <w:color w:val="auto"/>
                <w:sz w:val="32"/>
                <w:szCs w:val="32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95"/>
                <w:sz w:val="32"/>
                <w:szCs w:val="32"/>
                <w:highlight w:val="none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w w:val="95"/>
                <w:sz w:val="32"/>
                <w:szCs w:val="32"/>
                <w:highlight w:val="none"/>
                <w:lang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auto"/>
                <w:w w:val="95"/>
                <w:sz w:val="32"/>
                <w:szCs w:val="32"/>
                <w:highlight w:val="none"/>
              </w:rPr>
              <w:t>第</w:t>
            </w:r>
            <w:r>
              <w:rPr>
                <w:rFonts w:hint="eastAsia" w:ascii="仿宋_GB2312" w:hAnsi="仿宋_GB2312" w:eastAsia="仿宋_GB2312" w:cs="仿宋_GB2312"/>
                <w:color w:val="auto"/>
                <w:w w:val="95"/>
                <w:sz w:val="32"/>
                <w:szCs w:val="32"/>
                <w:highlight w:val="none"/>
                <w:lang w:val="en-US" w:eastAsia="zh-CN"/>
              </w:rPr>
              <w:t>四</w:t>
            </w:r>
            <w:r>
              <w:rPr>
                <w:rFonts w:hint="eastAsia" w:ascii="仿宋_GB2312" w:hAnsi="仿宋_GB2312" w:eastAsia="仿宋_GB2312" w:cs="仿宋_GB2312"/>
                <w:color w:val="auto"/>
                <w:w w:val="95"/>
                <w:sz w:val="32"/>
                <w:szCs w:val="32"/>
                <w:highlight w:val="none"/>
              </w:rPr>
              <w:t>届全国说医解药科普大赛分赛区承办单位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6" w:type="dxa"/>
          </w:tcPr>
          <w:p>
            <w:pPr>
              <w:rPr>
                <w:rFonts w:ascii="黑体" w:hAnsi="黑体" w:eastAsia="黑体" w:cs="黑体"/>
                <w:color w:val="auto"/>
                <w:sz w:val="32"/>
                <w:szCs w:val="32"/>
                <w:highlight w:val="none"/>
                <w:vertAlign w:val="baseline"/>
              </w:rPr>
            </w:pPr>
          </w:p>
        </w:tc>
        <w:tc>
          <w:tcPr>
            <w:tcW w:w="7138" w:type="dxa"/>
          </w:tcPr>
          <w:p>
            <w:pPr>
              <w:rPr>
                <w:rFonts w:ascii="黑体" w:hAnsi="黑体" w:eastAsia="黑体" w:cs="黑体"/>
                <w:color w:val="auto"/>
                <w:sz w:val="32"/>
                <w:szCs w:val="32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highlight w:val="none"/>
                <w:shd w:val="clear" w:color="auto" w:fill="FFFFFF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highlight w:val="none"/>
                <w:shd w:val="clear" w:color="auto" w:fill="FFFFFF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highlight w:val="none"/>
                <w:shd w:val="clear" w:color="auto" w:fill="FFFFFF"/>
                <w:lang w:eastAsia="zh-Hans"/>
              </w:rPr>
              <w:t>第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highlight w:val="none"/>
                <w:shd w:val="clear" w:color="auto" w:fill="FFFFFF"/>
                <w:lang w:val="en-US" w:eastAsia="zh-CN"/>
              </w:rPr>
              <w:t>四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highlight w:val="none"/>
                <w:shd w:val="clear" w:color="auto" w:fill="FFFFFF"/>
                <w:lang w:eastAsia="zh-Hans"/>
              </w:rPr>
              <w:t>届全国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highlight w:val="none"/>
                <w:shd w:val="clear" w:color="auto" w:fill="FFFFFF"/>
              </w:rPr>
              <w:t>说医解药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highlight w:val="none"/>
                <w:shd w:val="clear" w:color="auto" w:fill="FFFFFF"/>
                <w:lang w:eastAsia="zh-Hans"/>
              </w:rPr>
              <w:t>科普大赛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highlight w:val="none"/>
                <w:shd w:val="clear" w:color="auto" w:fill="FFFFFF"/>
              </w:rPr>
              <w:t>推荐作品汇总表</w:t>
            </w:r>
          </w:p>
        </w:tc>
      </w:tr>
    </w:tbl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</w:p>
    <w:tbl>
      <w:tblPr>
        <w:tblStyle w:val="8"/>
        <w:tblpPr w:leftFromText="180" w:rightFromText="180" w:vertAnchor="text" w:horzAnchor="page" w:tblpX="5035" w:tblpY="608"/>
        <w:tblOverlap w:val="never"/>
        <w:tblW w:w="549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9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9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中国中医药科技发展中心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（国家中医药管理局人才交流中心）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9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highlight w:val="none"/>
              </w:rPr>
              <w:t>202</w:t>
            </w:r>
            <w:r>
              <w:rPr>
                <w:rFonts w:hint="eastAsia" w:ascii="仿宋_GB2312" w:eastAsia="仿宋_GB2312"/>
                <w:color w:val="auto"/>
                <w:sz w:val="32"/>
                <w:szCs w:val="32"/>
                <w:highlight w:val="none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color w:val="auto"/>
                <w:sz w:val="32"/>
                <w:szCs w:val="32"/>
                <w:highlight w:val="none"/>
              </w:rPr>
              <w:t>年</w:t>
            </w:r>
            <w:r>
              <w:rPr>
                <w:rFonts w:hint="eastAsia" w:ascii="仿宋_GB2312" w:eastAsia="仿宋_GB2312"/>
                <w:color w:val="auto"/>
                <w:sz w:val="32"/>
                <w:szCs w:val="32"/>
                <w:highlight w:val="none"/>
                <w:lang w:val="en-US" w:eastAsia="zh-CN"/>
              </w:rPr>
              <w:t>7</w:t>
            </w:r>
            <w:r>
              <w:rPr>
                <w:rFonts w:hint="eastAsia" w:ascii="仿宋_GB2312" w:eastAsia="仿宋_GB2312"/>
                <w:color w:val="auto"/>
                <w:sz w:val="32"/>
                <w:szCs w:val="32"/>
                <w:highlight w:val="none"/>
              </w:rPr>
              <w:t>月</w:t>
            </w:r>
            <w:r>
              <w:rPr>
                <w:rFonts w:hint="eastAsia" w:ascii="仿宋_GB2312" w:eastAsia="仿宋_GB2312"/>
                <w:color w:val="auto"/>
                <w:sz w:val="32"/>
                <w:szCs w:val="32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color w:val="auto"/>
                <w:sz w:val="32"/>
                <w:szCs w:val="32"/>
                <w:highlight w:val="none"/>
              </w:rPr>
              <w:t>日</w:t>
            </w:r>
          </w:p>
        </w:tc>
      </w:tr>
    </w:tbl>
    <w:p>
      <w:pP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sectPr>
          <w:footerReference r:id="rId3" w:type="default"/>
          <w:pgSz w:w="11906" w:h="16838"/>
          <w:pgMar w:top="1984" w:right="1531" w:bottom="1984" w:left="1531" w:header="851" w:footer="992" w:gutter="0"/>
          <w:pgNumType w:fmt="numberInDash"/>
          <w:cols w:space="0" w:num="1"/>
          <w:docGrid w:type="lines" w:linePitch="319" w:charSpace="0"/>
        </w:sectPr>
      </w:pPr>
    </w:p>
    <w:p>
      <w:pPr>
        <w:rPr>
          <w:rFonts w:ascii="黑体" w:hAnsi="黑体" w:eastAsia="黑体" w:cs="黑体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附件1</w:t>
      </w:r>
    </w:p>
    <w:p>
      <w:pPr>
        <w:spacing w:before="159" w:beforeLines="50" w:after="159" w:afterLines="50"/>
        <w:jc w:val="center"/>
        <w:rPr>
          <w:rFonts w:ascii="方正小标宋简体" w:hAnsi="方正小标宋简体" w:eastAsia="方正小标宋简体" w:cs="方正小标宋简体"/>
          <w:color w:val="auto"/>
          <w:w w:val="90"/>
          <w:sz w:val="36"/>
          <w:szCs w:val="36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highlight w:val="none"/>
        </w:rPr>
        <w:t>第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highlight w:val="none"/>
          <w:lang w:val="en-US" w:eastAsia="zh-CN"/>
        </w:rPr>
        <w:t>四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highlight w:val="none"/>
        </w:rPr>
        <w:t>届全国说医解药科普大赛分赛区承办单位</w:t>
      </w:r>
    </w:p>
    <w:tbl>
      <w:tblPr>
        <w:tblStyle w:val="8"/>
        <w:tblpPr w:leftFromText="180" w:rightFromText="180" w:vertAnchor="text" w:horzAnchor="page" w:tblpX="1509" w:tblpY="307"/>
        <w:tblOverlap w:val="never"/>
        <w:tblW w:w="891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5"/>
        <w:gridCol w:w="1391"/>
        <w:gridCol w:w="665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5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黑体" w:hAnsi="黑体" w:eastAsia="黑体" w:cs="黑体"/>
                <w:spacing w:val="0"/>
                <w:w w:val="1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0"/>
                <w:w w:val="100"/>
                <w:sz w:val="28"/>
                <w:szCs w:val="28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1391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黑体" w:hAnsi="黑体" w:eastAsia="黑体" w:cs="黑体"/>
                <w:spacing w:val="0"/>
                <w:w w:val="1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0"/>
                <w:w w:val="100"/>
                <w:sz w:val="28"/>
                <w:szCs w:val="28"/>
                <w:highlight w:val="none"/>
                <w:vertAlign w:val="baseline"/>
                <w:lang w:val="en-US" w:eastAsia="zh-CN"/>
              </w:rPr>
              <w:t>赛 区</w:t>
            </w:r>
          </w:p>
        </w:tc>
        <w:tc>
          <w:tcPr>
            <w:tcW w:w="6656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黑体" w:hAnsi="黑体" w:eastAsia="黑体" w:cs="黑体"/>
                <w:spacing w:val="0"/>
                <w:w w:val="1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0"/>
                <w:w w:val="100"/>
                <w:sz w:val="28"/>
                <w:szCs w:val="28"/>
                <w:highlight w:val="none"/>
                <w:vertAlign w:val="baseline"/>
                <w:lang w:val="en-US" w:eastAsia="zh-CN"/>
              </w:rPr>
              <w:t>承办单位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top"/>
              <w:rPr>
                <w:rFonts w:hint="default" w:ascii="仿宋_GB2312" w:hAnsi="仿宋_GB2312" w:eastAsia="仿宋_GB2312" w:cs="仿宋_GB2312"/>
                <w:spacing w:val="0"/>
                <w:w w:val="1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3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top"/>
              <w:rPr>
                <w:rFonts w:hint="default" w:ascii="仿宋_GB2312" w:hAnsi="仿宋_GB2312" w:eastAsia="仿宋_GB2312" w:cs="仿宋_GB2312"/>
                <w:spacing w:val="0"/>
                <w:w w:val="1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Style w:val="16"/>
                <w:rFonts w:hAnsi="宋体"/>
                <w:spacing w:val="0"/>
                <w:w w:val="100"/>
                <w:sz w:val="28"/>
                <w:szCs w:val="28"/>
                <w:highlight w:val="none"/>
                <w:lang w:val="en-US" w:eastAsia="zh-CN" w:bidi="ar"/>
              </w:rPr>
              <w:t>北京</w:t>
            </w:r>
            <w:r>
              <w:rPr>
                <w:rStyle w:val="16"/>
                <w:rFonts w:hint="eastAsia" w:hAnsi="宋体"/>
                <w:spacing w:val="0"/>
                <w:w w:val="100"/>
                <w:sz w:val="28"/>
                <w:szCs w:val="28"/>
                <w:highlight w:val="none"/>
                <w:lang w:val="en-US" w:eastAsia="zh-CN" w:bidi="ar"/>
              </w:rPr>
              <w:t>市</w:t>
            </w:r>
          </w:p>
        </w:tc>
        <w:tc>
          <w:tcPr>
            <w:tcW w:w="66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top"/>
              <w:rPr>
                <w:rFonts w:hint="default" w:ascii="仿宋_GB2312" w:hAnsi="仿宋_GB2312" w:eastAsia="仿宋_GB2312" w:cs="仿宋_GB2312"/>
                <w:spacing w:val="0"/>
                <w:w w:val="1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Style w:val="16"/>
                <w:rFonts w:hint="eastAsia" w:hAnsi="宋体"/>
                <w:spacing w:val="0"/>
                <w:w w:val="100"/>
                <w:sz w:val="28"/>
                <w:szCs w:val="28"/>
                <w:highlight w:val="none"/>
                <w:lang w:val="en-US" w:eastAsia="zh-CN" w:bidi="ar"/>
              </w:rPr>
              <w:t>首都医科大学附属</w:t>
            </w:r>
            <w:r>
              <w:rPr>
                <w:rStyle w:val="16"/>
                <w:rFonts w:hAnsi="宋体"/>
                <w:spacing w:val="0"/>
                <w:w w:val="100"/>
                <w:sz w:val="28"/>
                <w:szCs w:val="28"/>
                <w:highlight w:val="none"/>
                <w:lang w:val="en-US" w:eastAsia="zh-CN" w:bidi="ar"/>
              </w:rPr>
              <w:t>北京</w:t>
            </w:r>
            <w:r>
              <w:rPr>
                <w:rStyle w:val="16"/>
                <w:rFonts w:hint="eastAsia" w:hAnsi="宋体"/>
                <w:spacing w:val="0"/>
                <w:w w:val="100"/>
                <w:sz w:val="28"/>
                <w:szCs w:val="28"/>
                <w:highlight w:val="none"/>
                <w:lang w:val="en-US" w:eastAsia="zh-CN" w:bidi="ar"/>
              </w:rPr>
              <w:t>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top"/>
              <w:rPr>
                <w:rFonts w:hint="default" w:ascii="仿宋_GB2312" w:hAnsi="仿宋_GB2312" w:eastAsia="仿宋_GB2312" w:cs="仿宋_GB2312"/>
                <w:spacing w:val="0"/>
                <w:w w:val="1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3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spacing w:val="0"/>
                <w:w w:val="1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Style w:val="16"/>
                <w:rFonts w:hAnsi="宋体"/>
                <w:spacing w:val="0"/>
                <w:w w:val="100"/>
                <w:sz w:val="28"/>
                <w:szCs w:val="28"/>
                <w:highlight w:val="none"/>
                <w:lang w:val="en-US" w:eastAsia="zh-CN" w:bidi="ar"/>
              </w:rPr>
              <w:t>天津市</w:t>
            </w:r>
          </w:p>
        </w:tc>
        <w:tc>
          <w:tcPr>
            <w:tcW w:w="66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top"/>
              <w:rPr>
                <w:rFonts w:hint="default" w:ascii="仿宋_GB2312" w:hAnsi="仿宋_GB2312" w:eastAsia="仿宋_GB2312" w:cs="仿宋_GB2312"/>
                <w:spacing w:val="0"/>
                <w:w w:val="1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Style w:val="16"/>
                <w:rFonts w:hAnsi="宋体"/>
                <w:spacing w:val="0"/>
                <w:w w:val="100"/>
                <w:sz w:val="28"/>
                <w:szCs w:val="28"/>
                <w:highlight w:val="none"/>
                <w:lang w:val="en-US" w:eastAsia="zh-CN" w:bidi="ar"/>
              </w:rPr>
              <w:t>天津</w:t>
            </w:r>
            <w:r>
              <w:rPr>
                <w:rStyle w:val="16"/>
                <w:rFonts w:hint="eastAsia" w:hAnsi="宋体"/>
                <w:spacing w:val="0"/>
                <w:w w:val="100"/>
                <w:sz w:val="28"/>
                <w:szCs w:val="28"/>
                <w:highlight w:val="none"/>
                <w:lang w:val="en-US" w:eastAsia="zh-CN" w:bidi="ar"/>
              </w:rPr>
              <w:t>中医药大学第一附属医院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top"/>
              <w:rPr>
                <w:rFonts w:hint="default" w:ascii="仿宋_GB2312" w:hAnsi="仿宋_GB2312" w:eastAsia="仿宋_GB2312" w:cs="仿宋_GB2312"/>
                <w:spacing w:val="0"/>
                <w:w w:val="1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3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spacing w:val="0"/>
                <w:w w:val="1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Style w:val="16"/>
                <w:rFonts w:hAnsi="宋体"/>
                <w:spacing w:val="0"/>
                <w:w w:val="100"/>
                <w:sz w:val="28"/>
                <w:szCs w:val="28"/>
                <w:highlight w:val="none"/>
                <w:lang w:val="en-US" w:eastAsia="zh-CN" w:bidi="ar"/>
              </w:rPr>
              <w:t>河北省</w:t>
            </w:r>
          </w:p>
        </w:tc>
        <w:tc>
          <w:tcPr>
            <w:tcW w:w="66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top"/>
              <w:rPr>
                <w:rFonts w:hint="default" w:ascii="仿宋_GB2312" w:hAnsi="仿宋_GB2312" w:eastAsia="仿宋_GB2312" w:cs="仿宋_GB2312"/>
                <w:spacing w:val="0"/>
                <w:w w:val="1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Style w:val="16"/>
                <w:rFonts w:hint="eastAsia" w:hAnsi="宋体"/>
                <w:spacing w:val="0"/>
                <w:w w:val="100"/>
                <w:sz w:val="28"/>
                <w:szCs w:val="28"/>
                <w:highlight w:val="none"/>
                <w:lang w:val="en-US" w:eastAsia="zh-CN" w:bidi="ar"/>
              </w:rPr>
              <w:t>河北卫生健康委健康河北指导中心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spacing w:val="0"/>
                <w:w w:val="1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3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top"/>
              <w:rPr>
                <w:rStyle w:val="16"/>
                <w:rFonts w:hint="default" w:hAnsi="宋体"/>
                <w:spacing w:val="0"/>
                <w:w w:val="10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Style w:val="16"/>
                <w:rFonts w:hint="eastAsia" w:hAnsi="宋体"/>
                <w:spacing w:val="0"/>
                <w:w w:val="100"/>
                <w:sz w:val="28"/>
                <w:szCs w:val="28"/>
                <w:highlight w:val="none"/>
                <w:lang w:val="en-US" w:eastAsia="zh-CN" w:bidi="ar"/>
              </w:rPr>
              <w:t>山西省</w:t>
            </w:r>
          </w:p>
        </w:tc>
        <w:tc>
          <w:tcPr>
            <w:tcW w:w="66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top"/>
              <w:rPr>
                <w:rStyle w:val="16"/>
                <w:rFonts w:hint="default" w:hAnsi="宋体"/>
                <w:spacing w:val="0"/>
                <w:w w:val="10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Style w:val="16"/>
                <w:rFonts w:hint="eastAsia" w:hAnsi="宋体"/>
                <w:spacing w:val="0"/>
                <w:w w:val="100"/>
                <w:sz w:val="28"/>
                <w:szCs w:val="28"/>
                <w:highlight w:val="none"/>
                <w:lang w:val="en-US" w:eastAsia="zh-CN" w:bidi="ar"/>
              </w:rPr>
              <w:t>山西省中医院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3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top"/>
              <w:rPr>
                <w:rFonts w:hint="eastAsia" w:ascii="仿宋_GB2312" w:hAnsi="宋体" w:eastAsia="仿宋_GB2312" w:cs="仿宋_GB2312"/>
                <w:color w:val="000000"/>
                <w:spacing w:val="0"/>
                <w:w w:val="100"/>
                <w:kern w:val="2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Style w:val="16"/>
                <w:rFonts w:hint="eastAsia" w:hAnsi="宋体"/>
                <w:spacing w:val="0"/>
                <w:w w:val="100"/>
                <w:sz w:val="28"/>
                <w:szCs w:val="28"/>
                <w:highlight w:val="none"/>
                <w:lang w:val="en-US" w:eastAsia="zh-CN" w:bidi="ar"/>
              </w:rPr>
              <w:t>江苏省</w:t>
            </w:r>
          </w:p>
        </w:tc>
        <w:tc>
          <w:tcPr>
            <w:tcW w:w="66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top"/>
              <w:rPr>
                <w:rFonts w:hint="eastAsia" w:ascii="仿宋_GB2312" w:hAnsi="宋体" w:eastAsia="仿宋_GB2312" w:cs="仿宋_GB2312"/>
                <w:color w:val="000000"/>
                <w:spacing w:val="0"/>
                <w:w w:val="100"/>
                <w:kern w:val="2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Style w:val="16"/>
                <w:rFonts w:hint="eastAsia" w:hAnsi="宋体"/>
                <w:spacing w:val="0"/>
                <w:w w:val="100"/>
                <w:sz w:val="28"/>
                <w:szCs w:val="28"/>
                <w:highlight w:val="none"/>
                <w:lang w:val="en-US" w:eastAsia="zh-CN" w:bidi="ar"/>
              </w:rPr>
              <w:t>南京市中医院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top"/>
              <w:rPr>
                <w:rFonts w:hint="default" w:ascii="仿宋_GB2312" w:hAnsi="仿宋_GB2312" w:eastAsia="仿宋_GB2312" w:cs="仿宋_GB2312"/>
                <w:spacing w:val="0"/>
                <w:w w:val="1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3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spacing w:val="0"/>
                <w:w w:val="1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Style w:val="16"/>
                <w:rFonts w:hAnsi="宋体"/>
                <w:spacing w:val="0"/>
                <w:w w:val="100"/>
                <w:sz w:val="28"/>
                <w:szCs w:val="28"/>
                <w:highlight w:val="none"/>
                <w:lang w:val="en-US" w:eastAsia="zh-CN" w:bidi="ar"/>
              </w:rPr>
              <w:t>浙江省</w:t>
            </w:r>
          </w:p>
        </w:tc>
        <w:tc>
          <w:tcPr>
            <w:tcW w:w="66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top"/>
              <w:rPr>
                <w:rFonts w:hint="default" w:ascii="仿宋_GB2312" w:hAnsi="仿宋_GB2312" w:eastAsia="仿宋_GB2312" w:cs="仿宋_GB2312"/>
                <w:spacing w:val="0"/>
                <w:w w:val="1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Style w:val="16"/>
                <w:rFonts w:hAnsi="宋体"/>
                <w:spacing w:val="0"/>
                <w:w w:val="95"/>
                <w:sz w:val="28"/>
                <w:szCs w:val="28"/>
                <w:highlight w:val="none"/>
                <w:lang w:val="en-US" w:eastAsia="zh-CN" w:bidi="ar"/>
              </w:rPr>
              <w:t>浙江省中医药发展研究中心、</w:t>
            </w:r>
            <w:r>
              <w:rPr>
                <w:rStyle w:val="16"/>
                <w:rFonts w:hint="eastAsia" w:hAnsi="宋体"/>
                <w:spacing w:val="0"/>
                <w:w w:val="95"/>
                <w:sz w:val="28"/>
                <w:szCs w:val="28"/>
                <w:highlight w:val="none"/>
                <w:lang w:val="en-US" w:eastAsia="zh-CN" w:bidi="ar"/>
              </w:rPr>
              <w:t>杭州市卫生健康委（联合）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top"/>
              <w:rPr>
                <w:rFonts w:hint="default" w:ascii="仿宋_GB2312" w:hAnsi="仿宋_GB2312" w:eastAsia="仿宋_GB2312" w:cs="仿宋_GB2312"/>
                <w:spacing w:val="0"/>
                <w:w w:val="1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3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top"/>
              <w:rPr>
                <w:rFonts w:hint="default" w:ascii="仿宋_GB2312" w:hAnsi="仿宋_GB2312" w:eastAsia="仿宋_GB2312" w:cs="仿宋_GB2312"/>
                <w:spacing w:val="0"/>
                <w:w w:val="1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Style w:val="16"/>
                <w:rFonts w:hAnsi="宋体"/>
                <w:spacing w:val="0"/>
                <w:w w:val="100"/>
                <w:sz w:val="28"/>
                <w:szCs w:val="28"/>
                <w:highlight w:val="none"/>
                <w:lang w:val="en-US" w:eastAsia="zh-CN" w:bidi="ar"/>
              </w:rPr>
              <w:t>福建省</w:t>
            </w:r>
          </w:p>
        </w:tc>
        <w:tc>
          <w:tcPr>
            <w:tcW w:w="66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top"/>
              <w:rPr>
                <w:rFonts w:hint="default" w:ascii="仿宋_GB2312" w:hAnsi="仿宋_GB2312" w:eastAsia="仿宋_GB2312" w:cs="仿宋_GB2312"/>
                <w:spacing w:val="0"/>
                <w:w w:val="1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Style w:val="16"/>
                <w:rFonts w:hint="eastAsia" w:hAnsi="宋体"/>
                <w:spacing w:val="0"/>
                <w:w w:val="100"/>
                <w:sz w:val="28"/>
                <w:szCs w:val="28"/>
                <w:highlight w:val="none"/>
                <w:lang w:val="en-US" w:eastAsia="zh-CN" w:bidi="ar"/>
              </w:rPr>
              <w:t>福建省中医药科学院、德化县中医院（联合）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top"/>
              <w:rPr>
                <w:rFonts w:hint="default" w:ascii="仿宋_GB2312" w:hAnsi="仿宋_GB2312" w:eastAsia="仿宋_GB2312" w:cs="仿宋_GB2312"/>
                <w:spacing w:val="0"/>
                <w:w w:val="1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w w:val="1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8</w:t>
            </w:r>
          </w:p>
        </w:tc>
        <w:tc>
          <w:tcPr>
            <w:tcW w:w="13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spacing w:val="0"/>
                <w:w w:val="1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Style w:val="16"/>
                <w:rFonts w:hAnsi="宋体"/>
                <w:spacing w:val="0"/>
                <w:w w:val="100"/>
                <w:sz w:val="28"/>
                <w:szCs w:val="28"/>
                <w:highlight w:val="none"/>
                <w:lang w:val="en-US" w:eastAsia="zh-CN" w:bidi="ar"/>
              </w:rPr>
              <w:t>山东省</w:t>
            </w:r>
          </w:p>
        </w:tc>
        <w:tc>
          <w:tcPr>
            <w:tcW w:w="66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top"/>
              <w:rPr>
                <w:rFonts w:hint="default" w:ascii="仿宋_GB2312" w:hAnsi="仿宋_GB2312" w:eastAsia="仿宋_GB2312" w:cs="仿宋_GB2312"/>
                <w:spacing w:val="0"/>
                <w:w w:val="1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Style w:val="16"/>
                <w:rFonts w:hAnsi="宋体"/>
                <w:spacing w:val="0"/>
                <w:w w:val="100"/>
                <w:sz w:val="28"/>
                <w:szCs w:val="28"/>
                <w:highlight w:val="none"/>
                <w:lang w:val="en-US" w:eastAsia="zh-CN" w:bidi="ar"/>
              </w:rPr>
              <w:t>山东中医药</w:t>
            </w:r>
            <w:r>
              <w:rPr>
                <w:rStyle w:val="16"/>
                <w:rFonts w:hint="eastAsia" w:hAnsi="宋体"/>
                <w:spacing w:val="0"/>
                <w:w w:val="100"/>
                <w:sz w:val="28"/>
                <w:szCs w:val="28"/>
                <w:highlight w:val="none"/>
                <w:lang w:val="en-US" w:eastAsia="zh-CN" w:bidi="ar"/>
              </w:rPr>
              <w:t>大学附属医院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top"/>
              <w:rPr>
                <w:rFonts w:hint="default" w:ascii="仿宋_GB2312" w:hAnsi="仿宋_GB2312" w:eastAsia="仿宋_GB2312" w:cs="仿宋_GB2312"/>
                <w:spacing w:val="0"/>
                <w:w w:val="1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13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spacing w:val="0"/>
                <w:w w:val="1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Style w:val="16"/>
                <w:rFonts w:hAnsi="宋体"/>
                <w:spacing w:val="0"/>
                <w:w w:val="100"/>
                <w:sz w:val="28"/>
                <w:szCs w:val="28"/>
                <w:highlight w:val="none"/>
                <w:lang w:val="en-US" w:eastAsia="zh-CN" w:bidi="ar"/>
              </w:rPr>
              <w:t>湖北省</w:t>
            </w:r>
          </w:p>
        </w:tc>
        <w:tc>
          <w:tcPr>
            <w:tcW w:w="66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top"/>
              <w:rPr>
                <w:rFonts w:hint="default" w:ascii="仿宋_GB2312" w:hAnsi="仿宋_GB2312" w:eastAsia="仿宋_GB2312" w:cs="仿宋_GB2312"/>
                <w:spacing w:val="0"/>
                <w:w w:val="1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Style w:val="16"/>
                <w:rFonts w:hAnsi="宋体"/>
                <w:spacing w:val="0"/>
                <w:w w:val="100"/>
                <w:sz w:val="28"/>
                <w:szCs w:val="28"/>
                <w:highlight w:val="none"/>
                <w:lang w:val="en-US" w:eastAsia="zh-CN" w:bidi="ar"/>
              </w:rPr>
              <w:t>湖北中医药大学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3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spacing w:val="0"/>
                <w:w w:val="1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Style w:val="16"/>
                <w:rFonts w:hAnsi="宋体"/>
                <w:spacing w:val="0"/>
                <w:w w:val="100"/>
                <w:sz w:val="28"/>
                <w:szCs w:val="28"/>
                <w:highlight w:val="none"/>
                <w:lang w:val="en-US" w:eastAsia="zh-CN" w:bidi="ar"/>
              </w:rPr>
              <w:t>广东省</w:t>
            </w:r>
          </w:p>
        </w:tc>
        <w:tc>
          <w:tcPr>
            <w:tcW w:w="66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top"/>
              <w:rPr>
                <w:rFonts w:hint="default" w:ascii="仿宋_GB2312" w:hAnsi="仿宋_GB2312" w:eastAsia="仿宋_GB2312" w:cs="仿宋_GB2312"/>
                <w:spacing w:val="0"/>
                <w:w w:val="1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w w:val="1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广州中医药大学第一附属医院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top"/>
              <w:rPr>
                <w:rFonts w:hint="default" w:ascii="仿宋_GB2312" w:hAnsi="仿宋_GB2312" w:eastAsia="仿宋_GB2312" w:cs="仿宋_GB2312"/>
                <w:spacing w:val="0"/>
                <w:w w:val="1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13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top"/>
              <w:rPr>
                <w:rFonts w:hint="eastAsia" w:ascii="仿宋_GB2312" w:hAnsi="宋体" w:eastAsia="仿宋_GB2312" w:cs="仿宋_GB2312"/>
                <w:color w:val="000000"/>
                <w:spacing w:val="0"/>
                <w:w w:val="100"/>
                <w:kern w:val="2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Style w:val="16"/>
                <w:rFonts w:hint="eastAsia" w:hAnsi="宋体"/>
                <w:spacing w:val="0"/>
                <w:w w:val="100"/>
                <w:sz w:val="28"/>
                <w:szCs w:val="28"/>
                <w:highlight w:val="none"/>
                <w:lang w:val="en-US" w:eastAsia="zh-CN" w:bidi="ar"/>
              </w:rPr>
              <w:t>海南省</w:t>
            </w:r>
          </w:p>
        </w:tc>
        <w:tc>
          <w:tcPr>
            <w:tcW w:w="66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top"/>
              <w:rPr>
                <w:rFonts w:hint="eastAsia" w:ascii="仿宋_GB2312" w:hAnsi="宋体" w:eastAsia="仿宋_GB2312" w:cs="仿宋_GB2312"/>
                <w:color w:val="000000"/>
                <w:spacing w:val="0"/>
                <w:w w:val="100"/>
                <w:kern w:val="2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Style w:val="16"/>
                <w:rFonts w:hint="eastAsia" w:hAnsi="宋体"/>
                <w:spacing w:val="0"/>
                <w:w w:val="100"/>
                <w:sz w:val="28"/>
                <w:szCs w:val="28"/>
                <w:highlight w:val="none"/>
                <w:lang w:val="en-US" w:eastAsia="zh-CN" w:bidi="ar"/>
              </w:rPr>
              <w:t>海南省健康宣传教育中心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3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top"/>
              <w:rPr>
                <w:rStyle w:val="16"/>
                <w:rFonts w:hint="default" w:hAnsi="宋体"/>
                <w:spacing w:val="0"/>
                <w:w w:val="10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Style w:val="16"/>
                <w:rFonts w:hint="eastAsia" w:hAnsi="宋体"/>
                <w:spacing w:val="0"/>
                <w:w w:val="100"/>
                <w:sz w:val="28"/>
                <w:szCs w:val="28"/>
                <w:highlight w:val="none"/>
                <w:lang w:val="en-US" w:eastAsia="zh-CN" w:bidi="ar"/>
              </w:rPr>
              <w:t>四川省</w:t>
            </w:r>
          </w:p>
        </w:tc>
        <w:tc>
          <w:tcPr>
            <w:tcW w:w="66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top"/>
              <w:rPr>
                <w:rStyle w:val="16"/>
                <w:rFonts w:hint="default" w:hAnsi="宋体"/>
                <w:spacing w:val="0"/>
                <w:w w:val="10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Style w:val="16"/>
                <w:rFonts w:hint="eastAsia" w:hAnsi="宋体"/>
                <w:spacing w:val="0"/>
                <w:w w:val="100"/>
                <w:sz w:val="28"/>
                <w:szCs w:val="28"/>
                <w:highlight w:val="none"/>
                <w:lang w:val="en-US" w:eastAsia="zh-CN" w:bidi="ar"/>
              </w:rPr>
              <w:t>四川中医药发展服务中心、成都中医药大学（联合）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13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spacing w:val="0"/>
                <w:w w:val="1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Style w:val="16"/>
                <w:rFonts w:hAnsi="宋体"/>
                <w:spacing w:val="0"/>
                <w:w w:val="100"/>
                <w:sz w:val="28"/>
                <w:szCs w:val="28"/>
                <w:highlight w:val="none"/>
                <w:lang w:val="en-US" w:eastAsia="zh-CN" w:bidi="ar"/>
              </w:rPr>
              <w:t>甘肃省</w:t>
            </w:r>
          </w:p>
        </w:tc>
        <w:tc>
          <w:tcPr>
            <w:tcW w:w="66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top"/>
              <w:rPr>
                <w:rFonts w:hint="default" w:ascii="仿宋_GB2312" w:hAnsi="仿宋_GB2312" w:eastAsia="仿宋_GB2312" w:cs="仿宋_GB2312"/>
                <w:spacing w:val="0"/>
                <w:w w:val="1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Style w:val="16"/>
                <w:rFonts w:hAnsi="宋体"/>
                <w:spacing w:val="0"/>
                <w:w w:val="100"/>
                <w:sz w:val="28"/>
                <w:szCs w:val="28"/>
                <w:highlight w:val="none"/>
                <w:lang w:val="en-US" w:eastAsia="zh-CN" w:bidi="ar"/>
              </w:rPr>
              <w:t>甘肃中医药大学附属医院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13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top"/>
              <w:rPr>
                <w:rFonts w:hint="default" w:ascii="仿宋_GB2312" w:hAnsi="仿宋_GB2312" w:eastAsia="仿宋_GB2312" w:cs="仿宋_GB2312"/>
                <w:spacing w:val="0"/>
                <w:w w:val="1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Style w:val="16"/>
                <w:rFonts w:hAnsi="宋体"/>
                <w:spacing w:val="0"/>
                <w:w w:val="100"/>
                <w:sz w:val="28"/>
                <w:szCs w:val="28"/>
                <w:highlight w:val="none"/>
                <w:lang w:val="en-US" w:eastAsia="zh-CN" w:bidi="ar"/>
              </w:rPr>
              <w:t>宁夏</w:t>
            </w:r>
            <w:r>
              <w:rPr>
                <w:rStyle w:val="16"/>
                <w:rFonts w:hint="eastAsia" w:hAnsi="宋体"/>
                <w:spacing w:val="0"/>
                <w:w w:val="100"/>
                <w:sz w:val="28"/>
                <w:szCs w:val="28"/>
                <w:highlight w:val="none"/>
                <w:lang w:val="en-US" w:eastAsia="zh-CN" w:bidi="ar"/>
              </w:rPr>
              <w:t>回族自治区</w:t>
            </w:r>
          </w:p>
        </w:tc>
        <w:tc>
          <w:tcPr>
            <w:tcW w:w="66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top"/>
              <w:rPr>
                <w:rFonts w:hint="eastAsia" w:ascii="仿宋_GB2312" w:hAnsi="仿宋_GB2312" w:eastAsia="仿宋_GB2312" w:cs="仿宋_GB2312"/>
                <w:spacing w:val="0"/>
                <w:w w:val="1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Style w:val="16"/>
                <w:rFonts w:hAnsi="宋体"/>
                <w:spacing w:val="0"/>
                <w:w w:val="100"/>
                <w:sz w:val="28"/>
                <w:szCs w:val="28"/>
                <w:highlight w:val="none"/>
                <w:lang w:val="en-US" w:eastAsia="zh-CN" w:bidi="ar"/>
              </w:rPr>
              <w:t>宁夏回族自治区中医医院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13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top"/>
              <w:rPr>
                <w:rStyle w:val="16"/>
                <w:rFonts w:hint="default" w:hAnsi="宋体"/>
                <w:spacing w:val="0"/>
                <w:w w:val="10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Style w:val="16"/>
                <w:rFonts w:hint="eastAsia" w:hAnsi="宋体"/>
                <w:spacing w:val="0"/>
                <w:w w:val="100"/>
                <w:sz w:val="28"/>
                <w:szCs w:val="28"/>
                <w:highlight w:val="none"/>
                <w:lang w:val="en-US" w:eastAsia="zh-CN" w:bidi="ar"/>
              </w:rPr>
              <w:t>新疆维吾尔自治区</w:t>
            </w:r>
          </w:p>
        </w:tc>
        <w:tc>
          <w:tcPr>
            <w:tcW w:w="66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top"/>
              <w:rPr>
                <w:rStyle w:val="16"/>
                <w:rFonts w:hint="default" w:hAnsi="宋体"/>
                <w:spacing w:val="0"/>
                <w:w w:val="10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Style w:val="16"/>
                <w:rFonts w:hint="eastAsia" w:hAnsi="宋体"/>
                <w:spacing w:val="0"/>
                <w:w w:val="100"/>
                <w:sz w:val="28"/>
                <w:szCs w:val="28"/>
                <w:highlight w:val="none"/>
                <w:lang w:val="en-US" w:eastAsia="zh-CN" w:bidi="ar"/>
              </w:rPr>
              <w:t>昌吉州中医药学会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13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top"/>
              <w:rPr>
                <w:rStyle w:val="16"/>
                <w:rFonts w:hint="default" w:hAnsi="宋体"/>
                <w:spacing w:val="0"/>
                <w:w w:val="10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Style w:val="16"/>
                <w:rFonts w:hint="eastAsia" w:hAnsi="宋体"/>
                <w:spacing w:val="0"/>
                <w:w w:val="100"/>
                <w:sz w:val="28"/>
                <w:szCs w:val="28"/>
                <w:highlight w:val="none"/>
                <w:lang w:val="en-US" w:eastAsia="zh-CN" w:bidi="ar"/>
              </w:rPr>
              <w:t>新疆生产建设兵团</w:t>
            </w:r>
          </w:p>
        </w:tc>
        <w:tc>
          <w:tcPr>
            <w:tcW w:w="66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top"/>
              <w:rPr>
                <w:rStyle w:val="16"/>
                <w:rFonts w:hint="default" w:hAnsi="宋体"/>
                <w:spacing w:val="0"/>
                <w:w w:val="10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Style w:val="16"/>
                <w:rFonts w:hint="eastAsia" w:hAnsi="宋体"/>
                <w:spacing w:val="0"/>
                <w:w w:val="100"/>
                <w:sz w:val="28"/>
                <w:szCs w:val="28"/>
                <w:highlight w:val="none"/>
                <w:lang w:val="en-US" w:eastAsia="zh-CN" w:bidi="ar"/>
              </w:rPr>
              <w:t>石河子大学附属中医医院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13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top"/>
              <w:rPr>
                <w:rFonts w:hint="default" w:ascii="仿宋_GB2312" w:hAnsi="宋体" w:eastAsia="仿宋_GB2312" w:cs="仿宋_GB2312"/>
                <w:color w:val="000000"/>
                <w:spacing w:val="0"/>
                <w:w w:val="100"/>
                <w:kern w:val="2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Style w:val="16"/>
                <w:rFonts w:hint="eastAsia" w:hAnsi="宋体"/>
                <w:spacing w:val="0"/>
                <w:w w:val="100"/>
                <w:sz w:val="28"/>
                <w:szCs w:val="28"/>
                <w:highlight w:val="none"/>
                <w:lang w:val="en-US" w:eastAsia="zh-CN" w:bidi="ar"/>
              </w:rPr>
              <w:t>联  合</w:t>
            </w:r>
          </w:p>
        </w:tc>
        <w:tc>
          <w:tcPr>
            <w:tcW w:w="66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top"/>
              <w:rPr>
                <w:rFonts w:hint="default" w:ascii="仿宋_GB2312" w:hAnsi="宋体" w:eastAsia="仿宋_GB2312" w:cs="仿宋_GB2312"/>
                <w:color w:val="000000"/>
                <w:spacing w:val="0"/>
                <w:w w:val="100"/>
                <w:kern w:val="2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Style w:val="16"/>
                <w:rFonts w:hint="eastAsia" w:hAnsi="宋体"/>
                <w:spacing w:val="0"/>
                <w:w w:val="100"/>
                <w:sz w:val="28"/>
                <w:szCs w:val="28"/>
                <w:highlight w:val="none"/>
                <w:lang w:val="en-US" w:eastAsia="zh-CN" w:bidi="ar"/>
              </w:rPr>
              <w:t>北京健康促进会</w:t>
            </w:r>
          </w:p>
        </w:tc>
      </w:tr>
    </w:tbl>
    <w:p>
      <w:pPr>
        <w:rPr>
          <w:color w:val="auto"/>
          <w:highlight w:val="none"/>
        </w:rPr>
        <w:sectPr>
          <w:headerReference r:id="rId4" w:type="default"/>
          <w:pgSz w:w="11906" w:h="16838"/>
          <w:pgMar w:top="1440" w:right="1803" w:bottom="1440" w:left="1803" w:header="851" w:footer="992" w:gutter="0"/>
          <w:pgNumType w:fmt="numberInDash" w:start="7"/>
          <w:cols w:space="0" w:num="1"/>
          <w:docGrid w:type="lines" w:linePitch="319" w:charSpace="0"/>
        </w:sectPr>
      </w:pPr>
      <w:r>
        <w:rPr>
          <w:rFonts w:ascii="仿宋" w:hAnsi="仿宋" w:eastAsia="仿宋"/>
          <w:color w:val="auto"/>
          <w:sz w:val="32"/>
          <w:szCs w:val="32"/>
          <w:highlight w:val="none"/>
        </w:rPr>
        <w:br w:type="page"/>
      </w:r>
    </w:p>
    <w:p>
      <w:pPr>
        <w:spacing w:line="520" w:lineRule="exact"/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附件2</w:t>
      </w:r>
    </w:p>
    <w:p>
      <w:pPr>
        <w:pageBreakBefore w:val="0"/>
        <w:kinsoku/>
        <w:topLinePunct w:val="0"/>
        <w:spacing w:line="600" w:lineRule="exact"/>
        <w:jc w:val="center"/>
        <w:outlineLvl w:val="0"/>
        <w:rPr>
          <w:rFonts w:ascii="仿宋_GB2312" w:hAnsi="仿宋_GB2312" w:eastAsia="仿宋_GB2312"/>
          <w:b/>
          <w:color w:val="000000" w:themeColor="text1"/>
          <w:sz w:val="44"/>
          <w:szCs w:val="44"/>
          <w:highlight w:val="none"/>
          <w:lang w:val="zh-TW"/>
          <w14:textFill>
            <w14:solidFill>
              <w14:schemeClr w14:val="tx1"/>
            </w14:solidFill>
          </w14:textFill>
        </w:rPr>
      </w:pPr>
      <w:bookmarkStart w:id="7" w:name="_Toc8983"/>
      <w:bookmarkStart w:id="8" w:name="_Toc23299"/>
      <w:bookmarkStart w:id="9" w:name="_Toc1962"/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44"/>
          <w:szCs w:val="44"/>
          <w:highlight w:val="none"/>
          <w:lang w:eastAsia="zh-Hans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44"/>
          <w:szCs w:val="44"/>
          <w:highlight w:val="none"/>
          <w:lang w:eastAsia="zh-Hans"/>
          <w14:textFill>
            <w14:solidFill>
              <w14:schemeClr w14:val="tx1"/>
            </w14:solidFill>
          </w14:textFill>
        </w:rPr>
        <w:t>届全国</w:t>
      </w: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说医解药</w:t>
      </w: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44"/>
          <w:szCs w:val="44"/>
          <w:highlight w:val="none"/>
          <w:lang w:eastAsia="zh-Hans"/>
          <w14:textFill>
            <w14:solidFill>
              <w14:schemeClr w14:val="tx1"/>
            </w14:solidFill>
          </w14:textFill>
        </w:rPr>
        <w:t>科普大赛</w:t>
      </w: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推荐作品汇总表</w:t>
      </w:r>
      <w:bookmarkEnd w:id="7"/>
      <w:bookmarkEnd w:id="8"/>
      <w:bookmarkEnd w:id="9"/>
    </w:p>
    <w:p>
      <w:pPr>
        <w:pStyle w:val="2"/>
        <w:pageBreakBefore w:val="0"/>
        <w:kinsoku/>
        <w:topLinePunct w:val="0"/>
        <w:spacing w:line="600" w:lineRule="exact"/>
        <w:rPr>
          <w:rFonts w:cs="Times New Roman"/>
          <w:color w:val="000000" w:themeColor="text1"/>
          <w:kern w:val="0"/>
          <w:szCs w:val="32"/>
          <w:highlight w:val="none"/>
          <w:u w:val="single"/>
          <w14:textFill>
            <w14:solidFill>
              <w14:schemeClr w14:val="tx1"/>
            </w14:solidFill>
          </w14:textFill>
        </w:rPr>
      </w:pPr>
      <w:r>
        <w:rPr>
          <w:rFonts w:cs="Times New Roman"/>
          <w:color w:val="000000" w:themeColor="text1"/>
          <w:kern w:val="0"/>
          <w:szCs w:val="32"/>
          <w:highlight w:val="none"/>
          <w:lang w:val="zh-TW"/>
          <w14:textFill>
            <w14:solidFill>
              <w14:schemeClr w14:val="tx1"/>
            </w14:solidFill>
          </w14:textFill>
        </w:rPr>
        <w:t>分赛区承办单位</w:t>
      </w:r>
      <w:r>
        <w:rPr>
          <w:rFonts w:cs="Times New Roman"/>
          <w:color w:val="000000" w:themeColor="text1"/>
          <w:kern w:val="0"/>
          <w:szCs w:val="32"/>
          <w:highlight w:val="none"/>
          <w14:textFill>
            <w14:solidFill>
              <w14:schemeClr w14:val="tx1"/>
            </w14:solidFill>
          </w14:textFill>
        </w:rPr>
        <w:t>（公章）</w:t>
      </w:r>
      <w:r>
        <w:rPr>
          <w:rFonts w:cs="Times New Roman"/>
          <w:color w:val="000000" w:themeColor="text1"/>
          <w:kern w:val="0"/>
          <w:szCs w:val="3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          </w:t>
      </w:r>
      <w:r>
        <w:rPr>
          <w:rFonts w:cs="Times New Roman"/>
          <w:color w:val="000000" w:themeColor="text1"/>
          <w:kern w:val="0"/>
          <w:szCs w:val="32"/>
          <w:highlight w:val="none"/>
          <w14:textFill>
            <w14:solidFill>
              <w14:schemeClr w14:val="tx1"/>
            </w14:solidFill>
          </w14:textFill>
        </w:rPr>
        <w:t xml:space="preserve">   联系人：</w:t>
      </w:r>
      <w:r>
        <w:rPr>
          <w:rFonts w:cs="Times New Roman"/>
          <w:color w:val="000000" w:themeColor="text1"/>
          <w:kern w:val="0"/>
          <w:szCs w:val="3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cs="Times New Roman"/>
          <w:color w:val="000000" w:themeColor="text1"/>
          <w:kern w:val="0"/>
          <w:szCs w:val="32"/>
          <w:highlight w:val="none"/>
          <w14:textFill>
            <w14:solidFill>
              <w14:schemeClr w14:val="tx1"/>
            </w14:solidFill>
          </w14:textFill>
        </w:rPr>
        <w:t xml:space="preserve">  联系电话：</w:t>
      </w:r>
      <w:r>
        <w:rPr>
          <w:rFonts w:cs="Times New Roman"/>
          <w:color w:val="000000" w:themeColor="text1"/>
          <w:kern w:val="0"/>
          <w:szCs w:val="3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 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0"/>
        <w:gridCol w:w="2688"/>
        <w:gridCol w:w="2037"/>
        <w:gridCol w:w="2899"/>
        <w:gridCol w:w="2660"/>
        <w:gridCol w:w="22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0" w:type="dxa"/>
            <w:vAlign w:val="center"/>
          </w:tcPr>
          <w:p>
            <w:pPr>
              <w:pStyle w:val="2"/>
              <w:pageBreakBefore w:val="0"/>
              <w:kinsoku/>
              <w:topLinePunct w:val="0"/>
              <w:bidi/>
              <w:snapToGrid/>
              <w:spacing w:line="600" w:lineRule="exact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688" w:type="dxa"/>
            <w:vAlign w:val="center"/>
          </w:tcPr>
          <w:p>
            <w:pPr>
              <w:pStyle w:val="2"/>
              <w:pageBreakBefore w:val="0"/>
              <w:kinsoku/>
              <w:topLinePunct w:val="0"/>
              <w:bidi/>
              <w:snapToGrid/>
              <w:spacing w:line="600" w:lineRule="exact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作品名称</w:t>
            </w:r>
          </w:p>
        </w:tc>
        <w:tc>
          <w:tcPr>
            <w:tcW w:w="2037" w:type="dxa"/>
            <w:vAlign w:val="center"/>
          </w:tcPr>
          <w:p>
            <w:pPr>
              <w:pStyle w:val="2"/>
              <w:pageBreakBefore w:val="0"/>
              <w:kinsoku/>
              <w:topLinePunct w:val="0"/>
              <w:bidi/>
              <w:snapToGrid/>
              <w:spacing w:line="600" w:lineRule="exact"/>
              <w:ind w:firstLine="0" w:firstLineChars="0"/>
              <w:jc w:val="center"/>
              <w:textAlignment w:val="center"/>
              <w:rPr>
                <w:rFonts w:hint="default" w:ascii="黑体" w:hAnsi="黑体" w:eastAsia="黑体" w:cs="黑体"/>
                <w:color w:val="000000" w:themeColor="text1"/>
                <w:kern w:val="0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作品</w:t>
            </w: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创作人</w:t>
            </w: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（不超过5人）</w:t>
            </w:r>
          </w:p>
        </w:tc>
        <w:tc>
          <w:tcPr>
            <w:tcW w:w="2899" w:type="dxa"/>
            <w:vAlign w:val="center"/>
          </w:tcPr>
          <w:p>
            <w:pPr>
              <w:pStyle w:val="2"/>
              <w:pageBreakBefore w:val="0"/>
              <w:kinsoku/>
              <w:topLinePunct w:val="0"/>
              <w:bidi/>
              <w:snapToGrid/>
              <w:spacing w:line="600" w:lineRule="exact"/>
              <w:ind w:firstLine="0" w:firstLineChars="0"/>
              <w:jc w:val="center"/>
              <w:textAlignment w:val="center"/>
              <w:rPr>
                <w:rFonts w:hint="default" w:ascii="黑体" w:hAnsi="黑体" w:eastAsia="黑体" w:cs="黑体"/>
                <w:color w:val="000000" w:themeColor="text1"/>
                <w:kern w:val="0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报送</w:t>
            </w: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单位</w:t>
            </w: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或个人）</w:t>
            </w:r>
          </w:p>
        </w:tc>
        <w:tc>
          <w:tcPr>
            <w:tcW w:w="2660" w:type="dxa"/>
            <w:vAlign w:val="center"/>
          </w:tcPr>
          <w:p>
            <w:pPr>
              <w:pStyle w:val="2"/>
              <w:pageBreakBefore w:val="0"/>
              <w:kinsoku/>
              <w:topLinePunct w:val="0"/>
              <w:bidi/>
              <w:snapToGrid/>
              <w:spacing w:line="600" w:lineRule="exact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联系</w:t>
            </w: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人及联系</w:t>
            </w: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方式</w:t>
            </w:r>
          </w:p>
        </w:tc>
        <w:tc>
          <w:tcPr>
            <w:tcW w:w="2242" w:type="dxa"/>
            <w:vAlign w:val="center"/>
          </w:tcPr>
          <w:p>
            <w:pPr>
              <w:pStyle w:val="2"/>
              <w:pageBreakBefore w:val="0"/>
              <w:kinsoku/>
              <w:topLinePunct w:val="0"/>
              <w:bidi/>
              <w:snapToGrid/>
              <w:spacing w:line="600" w:lineRule="exact"/>
              <w:ind w:firstLine="0" w:firstLineChars="0"/>
              <w:jc w:val="center"/>
              <w:textAlignment w:val="center"/>
              <w:rPr>
                <w:rFonts w:hint="default" w:ascii="黑体" w:hAnsi="黑体" w:eastAsia="黑体" w:cs="黑体"/>
                <w:color w:val="000000" w:themeColor="text1"/>
                <w:kern w:val="0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作品分类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0" w:type="dxa"/>
          </w:tcPr>
          <w:p>
            <w:pPr>
              <w:pStyle w:val="2"/>
              <w:pageBreakBefore w:val="0"/>
              <w:kinsoku/>
              <w:topLinePunct w:val="0"/>
              <w:spacing w:line="600" w:lineRule="exact"/>
              <w:ind w:firstLine="0" w:firstLineChars="0"/>
              <w:rPr>
                <w:rFonts w:cs="Times New Roman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88" w:type="dxa"/>
          </w:tcPr>
          <w:p>
            <w:pPr>
              <w:pStyle w:val="2"/>
              <w:pageBreakBefore w:val="0"/>
              <w:kinsoku/>
              <w:topLinePunct w:val="0"/>
              <w:spacing w:line="600" w:lineRule="exact"/>
              <w:ind w:firstLine="0" w:firstLineChars="0"/>
              <w:rPr>
                <w:rFonts w:cs="Times New Roman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37" w:type="dxa"/>
          </w:tcPr>
          <w:p>
            <w:pPr>
              <w:pStyle w:val="2"/>
              <w:pageBreakBefore w:val="0"/>
              <w:kinsoku/>
              <w:topLinePunct w:val="0"/>
              <w:spacing w:line="600" w:lineRule="exact"/>
              <w:ind w:firstLine="0" w:firstLineChars="0"/>
              <w:rPr>
                <w:rFonts w:cs="Times New Roman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99" w:type="dxa"/>
          </w:tcPr>
          <w:p>
            <w:pPr>
              <w:pStyle w:val="2"/>
              <w:pageBreakBefore w:val="0"/>
              <w:kinsoku/>
              <w:topLinePunct w:val="0"/>
              <w:spacing w:line="600" w:lineRule="exact"/>
              <w:ind w:firstLine="0" w:firstLineChars="0"/>
              <w:rPr>
                <w:rFonts w:cs="Times New Roman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60" w:type="dxa"/>
          </w:tcPr>
          <w:p>
            <w:pPr>
              <w:pStyle w:val="2"/>
              <w:pageBreakBefore w:val="0"/>
              <w:kinsoku/>
              <w:topLinePunct w:val="0"/>
              <w:spacing w:line="600" w:lineRule="exact"/>
              <w:ind w:firstLine="0" w:firstLineChars="0"/>
              <w:rPr>
                <w:rFonts w:cs="Times New Roman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42" w:type="dxa"/>
          </w:tcPr>
          <w:p>
            <w:pPr>
              <w:pStyle w:val="2"/>
              <w:pageBreakBefore w:val="0"/>
              <w:kinsoku/>
              <w:topLinePunct w:val="0"/>
              <w:spacing w:line="600" w:lineRule="exact"/>
              <w:ind w:firstLine="0" w:firstLineChars="0"/>
              <w:rPr>
                <w:rFonts w:cs="Times New Roman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0" w:type="dxa"/>
          </w:tcPr>
          <w:p>
            <w:pPr>
              <w:pStyle w:val="2"/>
              <w:pageBreakBefore w:val="0"/>
              <w:kinsoku/>
              <w:topLinePunct w:val="0"/>
              <w:spacing w:line="600" w:lineRule="exact"/>
              <w:ind w:firstLine="0" w:firstLineChars="0"/>
              <w:rPr>
                <w:rFonts w:cs="Times New Roman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88" w:type="dxa"/>
          </w:tcPr>
          <w:p>
            <w:pPr>
              <w:pStyle w:val="2"/>
              <w:pageBreakBefore w:val="0"/>
              <w:kinsoku/>
              <w:topLinePunct w:val="0"/>
              <w:spacing w:line="600" w:lineRule="exact"/>
              <w:ind w:firstLine="0" w:firstLineChars="0"/>
              <w:rPr>
                <w:rFonts w:cs="Times New Roman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37" w:type="dxa"/>
          </w:tcPr>
          <w:p>
            <w:pPr>
              <w:pStyle w:val="2"/>
              <w:pageBreakBefore w:val="0"/>
              <w:kinsoku/>
              <w:topLinePunct w:val="0"/>
              <w:spacing w:line="600" w:lineRule="exact"/>
              <w:ind w:firstLine="0" w:firstLineChars="0"/>
              <w:rPr>
                <w:rFonts w:cs="Times New Roman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99" w:type="dxa"/>
          </w:tcPr>
          <w:p>
            <w:pPr>
              <w:pStyle w:val="2"/>
              <w:pageBreakBefore w:val="0"/>
              <w:kinsoku/>
              <w:topLinePunct w:val="0"/>
              <w:spacing w:line="600" w:lineRule="exact"/>
              <w:ind w:firstLine="0" w:firstLineChars="0"/>
              <w:rPr>
                <w:rFonts w:cs="Times New Roman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60" w:type="dxa"/>
          </w:tcPr>
          <w:p>
            <w:pPr>
              <w:pStyle w:val="2"/>
              <w:pageBreakBefore w:val="0"/>
              <w:kinsoku/>
              <w:topLinePunct w:val="0"/>
              <w:spacing w:line="600" w:lineRule="exact"/>
              <w:ind w:firstLine="0" w:firstLineChars="0"/>
              <w:rPr>
                <w:rFonts w:cs="Times New Roman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42" w:type="dxa"/>
          </w:tcPr>
          <w:p>
            <w:pPr>
              <w:pStyle w:val="2"/>
              <w:pageBreakBefore w:val="0"/>
              <w:kinsoku/>
              <w:topLinePunct w:val="0"/>
              <w:spacing w:line="600" w:lineRule="exact"/>
              <w:ind w:firstLine="0" w:firstLineChars="0"/>
              <w:rPr>
                <w:rFonts w:cs="Times New Roman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0" w:type="dxa"/>
          </w:tcPr>
          <w:p>
            <w:pPr>
              <w:pStyle w:val="2"/>
              <w:pageBreakBefore w:val="0"/>
              <w:kinsoku/>
              <w:topLinePunct w:val="0"/>
              <w:spacing w:line="600" w:lineRule="exact"/>
              <w:ind w:firstLine="0" w:firstLineChars="0"/>
              <w:rPr>
                <w:rFonts w:cs="Times New Roman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88" w:type="dxa"/>
          </w:tcPr>
          <w:p>
            <w:pPr>
              <w:pStyle w:val="2"/>
              <w:pageBreakBefore w:val="0"/>
              <w:kinsoku/>
              <w:topLinePunct w:val="0"/>
              <w:spacing w:line="600" w:lineRule="exact"/>
              <w:ind w:firstLine="0" w:firstLineChars="0"/>
              <w:rPr>
                <w:rFonts w:cs="Times New Roman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37" w:type="dxa"/>
          </w:tcPr>
          <w:p>
            <w:pPr>
              <w:pStyle w:val="2"/>
              <w:pageBreakBefore w:val="0"/>
              <w:kinsoku/>
              <w:topLinePunct w:val="0"/>
              <w:spacing w:line="600" w:lineRule="exact"/>
              <w:ind w:firstLine="0" w:firstLineChars="0"/>
              <w:rPr>
                <w:rFonts w:cs="Times New Roman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99" w:type="dxa"/>
          </w:tcPr>
          <w:p>
            <w:pPr>
              <w:pStyle w:val="2"/>
              <w:pageBreakBefore w:val="0"/>
              <w:kinsoku/>
              <w:topLinePunct w:val="0"/>
              <w:spacing w:line="600" w:lineRule="exact"/>
              <w:ind w:firstLine="0" w:firstLineChars="0"/>
              <w:rPr>
                <w:rFonts w:cs="Times New Roman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60" w:type="dxa"/>
          </w:tcPr>
          <w:p>
            <w:pPr>
              <w:pStyle w:val="2"/>
              <w:pageBreakBefore w:val="0"/>
              <w:kinsoku/>
              <w:topLinePunct w:val="0"/>
              <w:spacing w:line="600" w:lineRule="exact"/>
              <w:ind w:firstLine="0" w:firstLineChars="0"/>
              <w:rPr>
                <w:rFonts w:cs="Times New Roman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42" w:type="dxa"/>
          </w:tcPr>
          <w:p>
            <w:pPr>
              <w:pStyle w:val="2"/>
              <w:pageBreakBefore w:val="0"/>
              <w:kinsoku/>
              <w:topLinePunct w:val="0"/>
              <w:spacing w:line="600" w:lineRule="exact"/>
              <w:ind w:firstLine="0" w:firstLineChars="0"/>
              <w:rPr>
                <w:rFonts w:cs="Times New Roman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0" w:type="dxa"/>
          </w:tcPr>
          <w:p>
            <w:pPr>
              <w:pStyle w:val="2"/>
              <w:pageBreakBefore w:val="0"/>
              <w:kinsoku/>
              <w:topLinePunct w:val="0"/>
              <w:spacing w:line="600" w:lineRule="exact"/>
              <w:ind w:firstLine="0" w:firstLineChars="0"/>
              <w:rPr>
                <w:rFonts w:cs="Times New Roman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88" w:type="dxa"/>
          </w:tcPr>
          <w:p>
            <w:pPr>
              <w:pStyle w:val="2"/>
              <w:pageBreakBefore w:val="0"/>
              <w:kinsoku/>
              <w:topLinePunct w:val="0"/>
              <w:spacing w:line="600" w:lineRule="exact"/>
              <w:ind w:firstLine="0" w:firstLineChars="0"/>
              <w:rPr>
                <w:rFonts w:cs="Times New Roman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37" w:type="dxa"/>
          </w:tcPr>
          <w:p>
            <w:pPr>
              <w:pStyle w:val="2"/>
              <w:pageBreakBefore w:val="0"/>
              <w:kinsoku/>
              <w:topLinePunct w:val="0"/>
              <w:spacing w:line="600" w:lineRule="exact"/>
              <w:ind w:firstLine="0" w:firstLineChars="0"/>
              <w:rPr>
                <w:rFonts w:cs="Times New Roman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99" w:type="dxa"/>
          </w:tcPr>
          <w:p>
            <w:pPr>
              <w:pStyle w:val="2"/>
              <w:pageBreakBefore w:val="0"/>
              <w:kinsoku/>
              <w:topLinePunct w:val="0"/>
              <w:spacing w:line="600" w:lineRule="exact"/>
              <w:ind w:firstLine="0" w:firstLineChars="0"/>
              <w:rPr>
                <w:rFonts w:cs="Times New Roman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60" w:type="dxa"/>
          </w:tcPr>
          <w:p>
            <w:pPr>
              <w:pStyle w:val="2"/>
              <w:pageBreakBefore w:val="0"/>
              <w:kinsoku/>
              <w:topLinePunct w:val="0"/>
              <w:spacing w:line="600" w:lineRule="exact"/>
              <w:ind w:firstLine="0" w:firstLineChars="0"/>
              <w:rPr>
                <w:rFonts w:cs="Times New Roman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42" w:type="dxa"/>
          </w:tcPr>
          <w:p>
            <w:pPr>
              <w:pStyle w:val="2"/>
              <w:pageBreakBefore w:val="0"/>
              <w:kinsoku/>
              <w:topLinePunct w:val="0"/>
              <w:spacing w:line="600" w:lineRule="exact"/>
              <w:ind w:firstLine="0" w:firstLineChars="0"/>
              <w:rPr>
                <w:rFonts w:cs="Times New Roman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0" w:type="dxa"/>
          </w:tcPr>
          <w:p>
            <w:pPr>
              <w:pStyle w:val="2"/>
              <w:pageBreakBefore w:val="0"/>
              <w:kinsoku/>
              <w:topLinePunct w:val="0"/>
              <w:spacing w:line="600" w:lineRule="exact"/>
              <w:ind w:firstLine="0" w:firstLineChars="0"/>
              <w:rPr>
                <w:rFonts w:cs="Times New Roman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88" w:type="dxa"/>
          </w:tcPr>
          <w:p>
            <w:pPr>
              <w:pStyle w:val="2"/>
              <w:pageBreakBefore w:val="0"/>
              <w:kinsoku/>
              <w:topLinePunct w:val="0"/>
              <w:spacing w:line="600" w:lineRule="exact"/>
              <w:ind w:firstLine="0" w:firstLineChars="0"/>
              <w:rPr>
                <w:rFonts w:cs="Times New Roman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37" w:type="dxa"/>
          </w:tcPr>
          <w:p>
            <w:pPr>
              <w:pStyle w:val="2"/>
              <w:pageBreakBefore w:val="0"/>
              <w:kinsoku/>
              <w:topLinePunct w:val="0"/>
              <w:spacing w:line="600" w:lineRule="exact"/>
              <w:ind w:firstLine="0" w:firstLineChars="0"/>
              <w:rPr>
                <w:rFonts w:cs="Times New Roman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99" w:type="dxa"/>
          </w:tcPr>
          <w:p>
            <w:pPr>
              <w:pStyle w:val="2"/>
              <w:pageBreakBefore w:val="0"/>
              <w:kinsoku/>
              <w:topLinePunct w:val="0"/>
              <w:spacing w:line="600" w:lineRule="exact"/>
              <w:ind w:firstLine="0" w:firstLineChars="0"/>
              <w:rPr>
                <w:rFonts w:cs="Times New Roman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60" w:type="dxa"/>
          </w:tcPr>
          <w:p>
            <w:pPr>
              <w:pStyle w:val="2"/>
              <w:pageBreakBefore w:val="0"/>
              <w:kinsoku/>
              <w:topLinePunct w:val="0"/>
              <w:spacing w:line="600" w:lineRule="exact"/>
              <w:ind w:firstLine="0" w:firstLineChars="0"/>
              <w:rPr>
                <w:rFonts w:cs="Times New Roman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42" w:type="dxa"/>
          </w:tcPr>
          <w:p>
            <w:pPr>
              <w:pStyle w:val="2"/>
              <w:pageBreakBefore w:val="0"/>
              <w:kinsoku/>
              <w:topLinePunct w:val="0"/>
              <w:spacing w:line="600" w:lineRule="exact"/>
              <w:ind w:firstLine="0" w:firstLineChars="0"/>
              <w:rPr>
                <w:rFonts w:cs="Times New Roman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0" w:type="dxa"/>
          </w:tcPr>
          <w:p>
            <w:pPr>
              <w:pStyle w:val="2"/>
              <w:pageBreakBefore w:val="0"/>
              <w:kinsoku/>
              <w:topLinePunct w:val="0"/>
              <w:spacing w:line="600" w:lineRule="exact"/>
              <w:ind w:firstLine="0" w:firstLineChars="0"/>
              <w:rPr>
                <w:rFonts w:cs="Times New Roman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88" w:type="dxa"/>
          </w:tcPr>
          <w:p>
            <w:pPr>
              <w:pStyle w:val="2"/>
              <w:pageBreakBefore w:val="0"/>
              <w:kinsoku/>
              <w:topLinePunct w:val="0"/>
              <w:spacing w:line="600" w:lineRule="exact"/>
              <w:ind w:firstLine="0" w:firstLineChars="0"/>
              <w:rPr>
                <w:rFonts w:cs="Times New Roman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37" w:type="dxa"/>
          </w:tcPr>
          <w:p>
            <w:pPr>
              <w:pStyle w:val="2"/>
              <w:pageBreakBefore w:val="0"/>
              <w:kinsoku/>
              <w:topLinePunct w:val="0"/>
              <w:spacing w:line="600" w:lineRule="exact"/>
              <w:ind w:firstLine="0" w:firstLineChars="0"/>
              <w:rPr>
                <w:rFonts w:cs="Times New Roman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99" w:type="dxa"/>
          </w:tcPr>
          <w:p>
            <w:pPr>
              <w:pStyle w:val="2"/>
              <w:pageBreakBefore w:val="0"/>
              <w:kinsoku/>
              <w:topLinePunct w:val="0"/>
              <w:spacing w:line="600" w:lineRule="exact"/>
              <w:ind w:firstLine="0" w:firstLineChars="0"/>
              <w:rPr>
                <w:rFonts w:cs="Times New Roman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60" w:type="dxa"/>
          </w:tcPr>
          <w:p>
            <w:pPr>
              <w:pStyle w:val="2"/>
              <w:pageBreakBefore w:val="0"/>
              <w:kinsoku/>
              <w:topLinePunct w:val="0"/>
              <w:spacing w:line="600" w:lineRule="exact"/>
              <w:ind w:firstLine="0" w:firstLineChars="0"/>
              <w:rPr>
                <w:rFonts w:cs="Times New Roman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42" w:type="dxa"/>
          </w:tcPr>
          <w:p>
            <w:pPr>
              <w:pStyle w:val="2"/>
              <w:pageBreakBefore w:val="0"/>
              <w:kinsoku/>
              <w:topLinePunct w:val="0"/>
              <w:spacing w:line="600" w:lineRule="exact"/>
              <w:ind w:firstLine="0" w:firstLineChars="0"/>
              <w:rPr>
                <w:rFonts w:cs="Times New Roman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0" w:type="dxa"/>
          </w:tcPr>
          <w:p>
            <w:pPr>
              <w:pStyle w:val="2"/>
              <w:pageBreakBefore w:val="0"/>
              <w:kinsoku/>
              <w:topLinePunct w:val="0"/>
              <w:spacing w:line="600" w:lineRule="exact"/>
              <w:ind w:firstLine="0" w:firstLineChars="0"/>
              <w:rPr>
                <w:rFonts w:cs="Times New Roman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88" w:type="dxa"/>
          </w:tcPr>
          <w:p>
            <w:pPr>
              <w:pStyle w:val="2"/>
              <w:pageBreakBefore w:val="0"/>
              <w:kinsoku/>
              <w:topLinePunct w:val="0"/>
              <w:spacing w:line="600" w:lineRule="exact"/>
              <w:ind w:firstLine="0" w:firstLineChars="0"/>
              <w:rPr>
                <w:rFonts w:cs="Times New Roman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37" w:type="dxa"/>
          </w:tcPr>
          <w:p>
            <w:pPr>
              <w:pStyle w:val="2"/>
              <w:pageBreakBefore w:val="0"/>
              <w:kinsoku/>
              <w:topLinePunct w:val="0"/>
              <w:spacing w:line="600" w:lineRule="exact"/>
              <w:ind w:firstLine="0" w:firstLineChars="0"/>
              <w:rPr>
                <w:rFonts w:cs="Times New Roman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99" w:type="dxa"/>
          </w:tcPr>
          <w:p>
            <w:pPr>
              <w:pStyle w:val="2"/>
              <w:pageBreakBefore w:val="0"/>
              <w:kinsoku/>
              <w:topLinePunct w:val="0"/>
              <w:spacing w:line="600" w:lineRule="exact"/>
              <w:ind w:firstLine="0" w:firstLineChars="0"/>
              <w:rPr>
                <w:rFonts w:cs="Times New Roman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60" w:type="dxa"/>
          </w:tcPr>
          <w:p>
            <w:pPr>
              <w:pStyle w:val="2"/>
              <w:pageBreakBefore w:val="0"/>
              <w:kinsoku/>
              <w:topLinePunct w:val="0"/>
              <w:spacing w:line="600" w:lineRule="exact"/>
              <w:ind w:firstLine="0" w:firstLineChars="0"/>
              <w:rPr>
                <w:rFonts w:cs="Times New Roman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42" w:type="dxa"/>
          </w:tcPr>
          <w:p>
            <w:pPr>
              <w:pStyle w:val="2"/>
              <w:pageBreakBefore w:val="0"/>
              <w:kinsoku/>
              <w:topLinePunct w:val="0"/>
              <w:spacing w:line="600" w:lineRule="exact"/>
              <w:ind w:firstLine="0" w:firstLineChars="0"/>
              <w:rPr>
                <w:rFonts w:cs="Times New Roman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ageBreakBefore w:val="0"/>
        <w:kinsoku/>
        <w:topLinePunct w:val="0"/>
        <w:spacing w:line="600" w:lineRule="exact"/>
        <w:jc w:val="right"/>
        <w:outlineLvl w:val="1"/>
        <w:rPr>
          <w:highlight w:val="none"/>
        </w:rPr>
        <w:sectPr>
          <w:pgSz w:w="16838" w:h="11906" w:orient="landscape"/>
          <w:pgMar w:top="1803" w:right="1440" w:bottom="1803" w:left="1440" w:header="851" w:footer="992" w:gutter="0"/>
          <w:pgNumType w:fmt="numberInDash"/>
          <w:cols w:space="0" w:num="1"/>
          <w:docGrid w:type="lines" w:linePitch="319" w:charSpace="0"/>
        </w:sectPr>
      </w:pPr>
      <w:r>
        <w:rPr>
          <w:rFonts w:cs="Times New Roman"/>
          <w:kern w:val="0"/>
          <w:highlight w:val="none"/>
        </w:rPr>
        <w:t xml:space="preserve">         </w:t>
      </w:r>
      <w:r>
        <w:rPr>
          <w:rFonts w:cs="Times New Roman"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填写时间：      年   月   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" w:lineRule="atLeast"/>
        <w:ind w:left="0" w:leftChars="0" w:firstLine="0" w:firstLineChars="0"/>
        <w:jc w:val="both"/>
        <w:textAlignment w:val="auto"/>
        <w:outlineLvl w:val="1"/>
        <w:rPr>
          <w:vanish/>
          <w:color w:val="auto"/>
          <w:sz w:val="30"/>
          <w:highlight w:val="none"/>
        </w:rPr>
      </w:pPr>
      <w:bookmarkStart w:id="10" w:name="_GoBack"/>
      <w:bookmarkEnd w:id="10"/>
    </w:p>
    <w:sectPr>
      <w:pgSz w:w="16838" w:h="11906" w:orient="landscape"/>
      <w:pgMar w:top="1803" w:right="1440" w:bottom="1803" w:left="1440" w:header="851" w:footer="992" w:gutter="0"/>
      <w:pgNumType w:fmt="numberInDash"/>
      <w:cols w:space="0" w:num="1"/>
      <w:docGrid w:type="lines" w:linePitch="43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黑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黑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ongti SC Regular">
    <w:altName w:val="华文彩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URW Book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URW Bookman">
    <w:panose1 w:val="00000400000000000000"/>
    <w:charset w:val="00"/>
    <w:family w:val="auto"/>
    <w:pitch w:val="default"/>
    <w:sig w:usb0="00000287" w:usb1="00000800" w:usb2="00000000" w:usb3="00000000" w:csb0="6000009F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 Light">
    <w:altName w:val="URW Book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Songti SC Regular" w:hAnsi="Songti SC Regular" w:eastAsia="Songti SC Regular" w:cs="Songti SC Regular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ascii="Songti SC Regular" w:hAnsi="Songti SC Regular" w:eastAsia="Songti SC Regular" w:cs="Songti SC Regular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Songti SC Regular" w:hAnsi="Songti SC Regular" w:eastAsia="Songti SC Regular" w:cs="Songti SC Regular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Songti SC Regular" w:hAnsi="Songti SC Regular" w:eastAsia="Songti SC Regular" w:cs="Songti SC Regular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Songti SC Regular" w:hAnsi="Songti SC Regular" w:eastAsia="Songti SC Regular" w:cs="Songti SC Regular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eastAsia" w:ascii="Songti SC Regular" w:hAnsi="Songti SC Regular" w:eastAsia="Songti SC Regular" w:cs="Songti SC Regular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A8FiLyGwIAACk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Songti SC Regular" w:hAnsi="Songti SC Regular" w:eastAsia="Songti SC Regular" w:cs="Songti SC Regular"/>
                        <w:sz w:val="32"/>
                        <w:szCs w:val="32"/>
                      </w:rPr>
                    </w:pPr>
                    <w:r>
                      <w:rPr>
                        <w:rFonts w:hint="eastAsia" w:ascii="Songti SC Regular" w:hAnsi="Songti SC Regular" w:eastAsia="Songti SC Regular" w:cs="Songti SC Regular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Songti SC Regular" w:hAnsi="Songti SC Regular" w:eastAsia="Songti SC Regular" w:cs="Songti SC Regular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Songti SC Regular" w:hAnsi="Songti SC Regular" w:eastAsia="Songti SC Regular" w:cs="Songti SC Regular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Songti SC Regular" w:hAnsi="Songti SC Regular" w:eastAsia="Songti SC Regular" w:cs="Songti SC Regular"/>
                        <w:sz w:val="32"/>
                        <w:szCs w:val="32"/>
                      </w:rPr>
                      <w:t>1</w:t>
                    </w:r>
                    <w:r>
                      <w:rPr>
                        <w:rFonts w:hint="eastAsia" w:ascii="Songti SC Regular" w:hAnsi="Songti SC Regular" w:eastAsia="Songti SC Regular" w:cs="Songti SC Regular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9"/>
  <w:displayVerticalDrawingGridEvery w:val="2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I0MzVhYTI1YTc2YjExNWQ1ZDYyZjcxNmZiNWU1YWUifQ=="/>
  </w:docVars>
  <w:rsids>
    <w:rsidRoot w:val="00CF1027"/>
    <w:rsid w:val="00140BBF"/>
    <w:rsid w:val="002259BC"/>
    <w:rsid w:val="007D7070"/>
    <w:rsid w:val="00A429AB"/>
    <w:rsid w:val="00B47ADD"/>
    <w:rsid w:val="00BD2B70"/>
    <w:rsid w:val="00CF1027"/>
    <w:rsid w:val="00DF14BB"/>
    <w:rsid w:val="02765CDE"/>
    <w:rsid w:val="02EA4873"/>
    <w:rsid w:val="031F6C4A"/>
    <w:rsid w:val="04C279B3"/>
    <w:rsid w:val="04E34229"/>
    <w:rsid w:val="05626BD1"/>
    <w:rsid w:val="06133E9A"/>
    <w:rsid w:val="06B44EEE"/>
    <w:rsid w:val="08407D2B"/>
    <w:rsid w:val="08D3259A"/>
    <w:rsid w:val="09591518"/>
    <w:rsid w:val="0AD833E5"/>
    <w:rsid w:val="0CFC6826"/>
    <w:rsid w:val="0D463774"/>
    <w:rsid w:val="0E8C7098"/>
    <w:rsid w:val="0F9B64AF"/>
    <w:rsid w:val="1092293B"/>
    <w:rsid w:val="123D6042"/>
    <w:rsid w:val="123F05A2"/>
    <w:rsid w:val="13806308"/>
    <w:rsid w:val="14B75004"/>
    <w:rsid w:val="150A4901"/>
    <w:rsid w:val="15794927"/>
    <w:rsid w:val="16C171A5"/>
    <w:rsid w:val="185F4F64"/>
    <w:rsid w:val="18E66531"/>
    <w:rsid w:val="19416369"/>
    <w:rsid w:val="19AB0240"/>
    <w:rsid w:val="1A8F4D4D"/>
    <w:rsid w:val="1D1D04B5"/>
    <w:rsid w:val="25016592"/>
    <w:rsid w:val="28613546"/>
    <w:rsid w:val="28D91BA7"/>
    <w:rsid w:val="28DB0C45"/>
    <w:rsid w:val="2AE15CAC"/>
    <w:rsid w:val="2FD375C3"/>
    <w:rsid w:val="30B6013E"/>
    <w:rsid w:val="31246BE6"/>
    <w:rsid w:val="31A25F0E"/>
    <w:rsid w:val="320D2EAD"/>
    <w:rsid w:val="337C2B8E"/>
    <w:rsid w:val="33CD3DE1"/>
    <w:rsid w:val="34496D9C"/>
    <w:rsid w:val="37202C70"/>
    <w:rsid w:val="38B61A2A"/>
    <w:rsid w:val="3C485895"/>
    <w:rsid w:val="3E6B1752"/>
    <w:rsid w:val="3E8A2416"/>
    <w:rsid w:val="41EF02A2"/>
    <w:rsid w:val="422264C4"/>
    <w:rsid w:val="45585702"/>
    <w:rsid w:val="46C12640"/>
    <w:rsid w:val="47B463BD"/>
    <w:rsid w:val="47EB01EC"/>
    <w:rsid w:val="4A4121A7"/>
    <w:rsid w:val="4A9401EE"/>
    <w:rsid w:val="4CD351A0"/>
    <w:rsid w:val="4D6640C3"/>
    <w:rsid w:val="51894824"/>
    <w:rsid w:val="51BB0150"/>
    <w:rsid w:val="52357605"/>
    <w:rsid w:val="5BBB7337"/>
    <w:rsid w:val="5E20787C"/>
    <w:rsid w:val="5FB94527"/>
    <w:rsid w:val="5FFF06D9"/>
    <w:rsid w:val="60C41AEA"/>
    <w:rsid w:val="611E4310"/>
    <w:rsid w:val="63626C83"/>
    <w:rsid w:val="643A3DDB"/>
    <w:rsid w:val="65202F1B"/>
    <w:rsid w:val="65B01F28"/>
    <w:rsid w:val="65C97E3B"/>
    <w:rsid w:val="65DF6369"/>
    <w:rsid w:val="66154481"/>
    <w:rsid w:val="66770C98"/>
    <w:rsid w:val="674C7A2E"/>
    <w:rsid w:val="67665540"/>
    <w:rsid w:val="6A4B50B0"/>
    <w:rsid w:val="6D9429FA"/>
    <w:rsid w:val="70572F72"/>
    <w:rsid w:val="72EB6B93"/>
    <w:rsid w:val="74884070"/>
    <w:rsid w:val="74B81B9B"/>
    <w:rsid w:val="79112886"/>
    <w:rsid w:val="796568F6"/>
    <w:rsid w:val="7BF30969"/>
    <w:rsid w:val="7C4D65EA"/>
    <w:rsid w:val="7CC9432D"/>
    <w:rsid w:val="7D179274"/>
    <w:rsid w:val="7EBEF322"/>
    <w:rsid w:val="7F6B3CD7"/>
    <w:rsid w:val="7F71059E"/>
    <w:rsid w:val="7FB84657"/>
    <w:rsid w:val="EBFF9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adjustRightInd w:val="0"/>
      <w:snapToGrid w:val="0"/>
      <w:spacing w:line="360" w:lineRule="auto"/>
      <w:ind w:firstLine="600" w:firstLineChars="200"/>
    </w:pPr>
    <w:rPr>
      <w:rFonts w:ascii="仿宋_GB2312" w:hAnsi="仿宋_GB2312" w:eastAsia="仿宋_GB2312" w:cs="仿宋_GB2312"/>
      <w:sz w:val="30"/>
      <w:szCs w:val="3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itle"/>
    <w:basedOn w:val="1"/>
    <w:next w:val="1"/>
    <w:qFormat/>
    <w:uiPriority w:val="10"/>
    <w:pPr>
      <w:snapToGrid w:val="0"/>
      <w:spacing w:line="600" w:lineRule="exact"/>
      <w:outlineLvl w:val="0"/>
    </w:pPr>
    <w:rPr>
      <w:rFonts w:eastAsia="黑体" w:cstheme="majorBidi"/>
      <w:bCs/>
      <w:kern w:val="28"/>
      <w:sz w:val="32"/>
      <w:szCs w:val="32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Hyperlink"/>
    <w:basedOn w:val="9"/>
    <w:semiHidden/>
    <w:unhideWhenUsed/>
    <w:qFormat/>
    <w:uiPriority w:val="99"/>
    <w:rPr>
      <w:color w:val="0000FF"/>
      <w:u w:val="single"/>
    </w:rPr>
  </w:style>
  <w:style w:type="table" w:customStyle="1" w:styleId="12">
    <w:name w:val="网格型浅色1"/>
    <w:basedOn w:val="7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13">
    <w:name w:val="列表段落1"/>
    <w:basedOn w:val="1"/>
    <w:qFormat/>
    <w:uiPriority w:val="34"/>
    <w:pPr>
      <w:ind w:firstLine="420" w:firstLineChars="200"/>
    </w:pPr>
  </w:style>
  <w:style w:type="character" w:customStyle="1" w:styleId="14">
    <w:name w:val="font61"/>
    <w:basedOn w:val="9"/>
    <w:qFormat/>
    <w:uiPriority w:val="0"/>
    <w:rPr>
      <w:rFonts w:hint="eastAsia" w:ascii="仿宋" w:hAnsi="仿宋" w:eastAsia="仿宋" w:cs="仿宋"/>
      <w:color w:val="000000"/>
      <w:sz w:val="30"/>
      <w:szCs w:val="30"/>
      <w:u w:val="none"/>
    </w:rPr>
  </w:style>
  <w:style w:type="character" w:customStyle="1" w:styleId="15">
    <w:name w:val="页眉 字符"/>
    <w:basedOn w:val="9"/>
    <w:link w:val="5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font11"/>
    <w:basedOn w:val="9"/>
    <w:qFormat/>
    <w:uiPriority w:val="0"/>
    <w:rPr>
      <w:rFonts w:hint="eastAsia" w:ascii="仿宋_GB2312" w:eastAsia="仿宋_GB2312" w:cs="仿宋_GB2312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2713</Words>
  <Characters>2810</Characters>
  <Lines>21</Lines>
  <Paragraphs>5</Paragraphs>
  <TotalTime>12</TotalTime>
  <ScaleCrop>false</ScaleCrop>
  <LinksUpToDate>false</LinksUpToDate>
  <CharactersWithSpaces>2920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2024-01-18T13:52:00Z</dcterms:created>
  <dc:creator>董华</dc:creator>
  <cp:lastModifiedBy>许秋丽</cp:lastModifiedBy>
  <cp:lastPrinted>2023-09-09T09:19:00Z</cp:lastPrinted>
  <dcterms:modified xsi:type="dcterms:W3CDTF">2025-08-15T11:41:12Z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9D4CEF81550F44D280AB776881DDC666_43</vt:lpwstr>
  </property>
</Properties>
</file>