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outlineLvl w:val="1"/>
        <w:rPr>
          <w:rFonts w:hint="eastAsia" w:ascii="黑体" w:hAnsi="黑体" w:eastAsia="黑体" w:cs="黑体"/>
          <w:bCs/>
          <w:sz w:val="32"/>
          <w:szCs w:val="32"/>
          <w:lang w:val="en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32"/>
          <w:szCs w:val="32"/>
          <w:lang w:val="en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职业卫生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初次轻微违法行为不予处罚情形</w:t>
      </w:r>
    </w:p>
    <w:tbl>
      <w:tblPr>
        <w:tblStyle w:val="9"/>
        <w:tblW w:w="13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913"/>
        <w:gridCol w:w="10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</w:trPr>
        <w:tc>
          <w:tcPr>
            <w:tcW w:w="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不予处罚事项名称</w:t>
            </w:r>
          </w:p>
        </w:tc>
        <w:tc>
          <w:tcPr>
            <w:tcW w:w="10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法律依据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  <w:t>未按照规定制定职业病防治计划和实施方案的</w:t>
            </w:r>
          </w:p>
        </w:tc>
        <w:tc>
          <w:tcPr>
            <w:tcW w:w="10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  <w:t>《中华人民共和国职业病防治法》第七十条第（二）项 违反本法规定，有下列行为之一的，由卫生行政部门给予警告，责令限期改正；逾期不改正的，处十万元以下的罚款：（二）未采取本法第二十条规定的职业病防治管理措施的。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exac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  <w:t>未按照规定设置或者指定职业卫生管理机构或者组织，或者未配备专职或者兼职的职业卫生管理人员的</w:t>
            </w:r>
          </w:p>
        </w:tc>
        <w:tc>
          <w:tcPr>
            <w:tcW w:w="10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  <w:t>《中华人民共和国职业病防治法》第二十条第二项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  <w:t>违反本法规定，有下列行为之一的，由卫生行政部门给予警告，责令限期改正；逾期不改正的，处十万元以下的罚款：（二）未采取本法第二十条规定的职业病防治管理措施的；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  <w:t>《工作场所职业卫生管理规定》第四十八条第二项 用人单位有下情形之一的，责令限期改正，给予警告；逾期未改正的，处十万元以下的罚款：（二）未按照规定设置或者指定职业卫生管理机构或者组织，或者未配备专职或者兼职的职业卫生管理人员的。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  <w:t>未按照规定建立、健全职业卫生管理制度和操作规程的</w:t>
            </w:r>
          </w:p>
        </w:tc>
        <w:tc>
          <w:tcPr>
            <w:tcW w:w="10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" w:eastAsia="zh-CN"/>
              </w:rPr>
              <w:t>《中华人民共和国职业病防治法》第七十条第（二）项 违反本法规定，有下列行为之一的，由卫生行政部门给予警告，责令限期改正；逾期不改正的，处十万元以下的罚款：（二）未采取本法第二十条规定的职业病防治管理措施的；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4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  <w:t>《工作场所职业卫生管理规定》第四十八条第（三）项 用人单位有下列情形之一的，责令限期改正，给予警告；逾期未改正的，处十万元以下的罚款：（三）未按照规定建立、健全职业卫生管理制度和操作规程的。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  <w:t>未建立、健全工作场所职业病危害因素监测及评价制度的</w:t>
            </w:r>
          </w:p>
        </w:tc>
        <w:tc>
          <w:tcPr>
            <w:tcW w:w="10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" w:eastAsia="zh-CN"/>
              </w:rPr>
              <w:t>《中华人民共和国职业病防治法》第七十条第（二）项 违反本法规定，有下列行为之一的，由卫生行政部门给予警告，责令限期改正；逾期不改正的，处十万元以下的罚款：（二）未采取本法第二十条规定的职业病防治管理措施的；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  <w:t>《工作场所职业卫生管理规定》第四十八条第（五）项 用人单位有下列情形之一的，责令限期改正，给予警告；逾期未改正的，处十万元以下的罚款：（五）未建立、健全工作场所职业病危害因素监测及评价制度的。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  <w:t>未按照规定公布有关职业病防治的规章制度、操作规程、职业病危害事故应急救援措施的</w:t>
            </w:r>
          </w:p>
        </w:tc>
        <w:tc>
          <w:tcPr>
            <w:tcW w:w="10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" w:eastAsia="zh-CN"/>
              </w:rPr>
              <w:t>《中华人民共和国职业病防治法》第七十条第（三）项 违反本法规定，有下列行为之一的，由卫生行政部门给予警告，责令限期改正；逾期不改正的，处十万元以下的罚款：（三）未按照规定公布有关职业病防治的规章制度、操作规程、职业病危害事故应急救援措施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  <w:t>《工作场所职业卫生管理规定》第四十八条第（六）项 用人单位有下列情形之一的，责令限期改正，给予警告；逾期未改正的，处十万元以下的罚款：（六）未按照规定公布有关职业病防治的规章制度、操作规程、职业病危害事故应急救援措施的。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  <w:t>工作场所职业病危害因素检测、评价结果没有或未按照规定上报、公布的</w:t>
            </w:r>
          </w:p>
        </w:tc>
        <w:tc>
          <w:tcPr>
            <w:tcW w:w="10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" w:eastAsia="zh-CN"/>
              </w:rPr>
              <w:t>《中华人民共和国职业病防治法》第七十条第（一）项 违反本法规定，有下列行为之一的，由卫生行政部门给予警告，责令限期改正；逾期不改正的，处十万元以下的罚款：（一）工作场所职业病危害因素检测、评价结果没有存档、上报、公布的；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" w:eastAsia="zh-CN"/>
              </w:rPr>
              <w:t>《工作场所职业卫生管理规定》第四十八条第（八）项 用人单位有下列情形之一的，责令限期改正，给予警告；逾期未改正的，处十万元以下的罚款：（八）工作场所职业病危害因素检测、评价结果未按照规定存档、上报和公布的。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559" w:right="1440" w:bottom="1559" w:left="1440" w:header="851" w:footer="992" w:gutter="0"/>
          <w:pgNumType w:fmt="decimal" w:start="36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4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590" w:lineRule="exact"/>
        <w:ind w:left="0" w:leftChars="0" w:right="210" w:rightChars="100" w:firstLine="280" w:firstLineChars="100"/>
        <w:textAlignment w:val="auto"/>
      </w:pPr>
      <w:r>
        <w:rPr>
          <w:rFonts w:hint="eastAsia" w:ascii="仿宋_GB2312" w:hAnsi="Times New Roman" w:eastAsia="仿宋_GB2312"/>
          <w:sz w:val="28"/>
          <w:szCs w:val="28"/>
        </w:rPr>
        <w:t>抄送：</w:t>
      </w:r>
      <w:bookmarkStart w:id="0" w:name="copydelivery"/>
      <w:r>
        <w:rPr>
          <w:rFonts w:hint="eastAsia" w:ascii="仿宋_GB2312" w:hAnsi="Times New Roman" w:eastAsia="仿宋_GB2312"/>
          <w:sz w:val="28"/>
          <w:szCs w:val="28"/>
          <w:lang w:eastAsia="zh-CN"/>
        </w:rPr>
        <w:t>省职控中心</w:t>
      </w:r>
      <w:bookmarkEnd w:id="0"/>
      <w:r>
        <w:rPr>
          <w:rFonts w:hint="eastAsia" w:ascii="仿宋_GB2312" w:hAnsi="Times New Roman" w:eastAsia="仿宋_GB2312"/>
          <w:sz w:val="28"/>
          <w:szCs w:val="28"/>
        </w:rPr>
        <w:t>。</w:t>
      </w:r>
      <w:r>
        <w:rPr>
          <w:rFonts w:hint="eastAsia" w:ascii="仿宋_GB2312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Kf5/1wAAAAwBAAAPAAAAAAAAAAEAIAAAACIAAABk&#10;cnMvZG93bnJldi54bWxQSwECFAAUAAAACACHTuJA0RtKws4BAACZAwAADgAAAAAAAAABACAAAAAm&#10;AQAAZHJzL2Uyb0RvYy54bWxQSwUGAAAAAAYABgBZAQAAZg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hAnsi="Times New Roman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hAnsi="Times New Roman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hAnsi="Times New Roman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hAnsi="Times New Roman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+jf3zZAAAADQEAAA8AAAAAAAAAAQAgAAAAIgAA&#10;AGRycy9kb3ducmV2LnhtbFBLAQIUABQAAAAIAIdO4kB9H21JzgEAAJkDAAAOAAAAAAAAAAEAIAAA&#10;ACgBAABkcnMvZTJvRG9jLnhtbFBLBQYAAAAABgAGAFkBAABo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hAnsi="Times New Roman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hAnsi="Times New Roman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hAnsi="Times New Roman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hAnsi="Times New Roman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lSXodcAAAAMAQAADwAAAAAAAAABACAAAAAiAAAAZHJzL2Rvd25y&#10;ZXYueG1sUEsBAhQAFAAAAAgAh07iQH4qViT/AQAA/gMAAA4AAAAAAAAAAQAgAAAAJgEAAGRycy9l&#10;Mm9Eb2MueG1sUEsFBgAAAAAGAAYAWQEAAJcFAAAAAA=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sectPr>
      <w:pgSz w:w="11906" w:h="16838"/>
      <w:pgMar w:top="1440" w:right="1559" w:bottom="1440" w:left="1559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6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styleId="3">
    <w:name w:val="Body Text"/>
    <w:basedOn w:val="1"/>
    <w:qFormat/>
    <w:uiPriority w:val="0"/>
    <w:pPr>
      <w:spacing w:beforeLines="0" w:after="120" w:afterLines="0"/>
    </w:pPr>
    <w:rPr>
      <w:rFonts w:hint="default"/>
      <w:sz w:val="21"/>
    </w:rPr>
  </w:style>
  <w:style w:type="paragraph" w:styleId="4">
    <w:name w:val="Date"/>
    <w:next w:val="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spacing w:beforeLines="0" w:afterLines="0"/>
      <w:ind w:firstLine="420" w:firstLineChars="100"/>
    </w:pPr>
    <w:rPr>
      <w:rFonts w:hint="default"/>
      <w:sz w:val="21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2022-11-01T09:17:53Z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