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adjustRightInd w:val="0"/>
        <w:snapToGrid w:val="0"/>
        <w:spacing w:before="156" w:beforeLines="50" w:after="156" w:afterLines="50" w:line="360" w:lineRule="auto"/>
        <w:outlineLvl w:val="1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用人单位职业病危害综合风险评估方法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_GB2312" w:cs="等线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用人单位根据职业病危害风险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分级</w:t>
      </w:r>
      <w:r>
        <w:rPr>
          <w:rFonts w:hint="eastAsia" w:ascii="仿宋_GB2312" w:hAnsi="仿宋_GB2312" w:eastAsia="仿宋_GB2312" w:cs="仿宋_GB2312"/>
          <w:sz w:val="32"/>
          <w:szCs w:val="32"/>
        </w:rPr>
        <w:t>和职业卫生管理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状况</w:t>
      </w:r>
      <w:r>
        <w:rPr>
          <w:rFonts w:hint="eastAsia" w:ascii="仿宋_GB2312" w:hAnsi="仿宋_GB2312" w:eastAsia="仿宋_GB2312" w:cs="仿宋_GB2312"/>
          <w:sz w:val="32"/>
          <w:szCs w:val="32"/>
        </w:rPr>
        <w:t>分级结果评估职业病危害综合风险类别，分为甲类、乙类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丙类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三类风险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，其中甲类风险最低，丙类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最高。具体方法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用人单位职业病危害综合风险评估方法</w:t>
      </w:r>
    </w:p>
    <w:p>
      <w:pPr>
        <w:pStyle w:val="6"/>
        <w:rPr>
          <w:rFonts w:hint="eastAsia"/>
        </w:rPr>
      </w:pPr>
    </w:p>
    <w:tbl>
      <w:tblPr>
        <w:tblStyle w:val="7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113"/>
        <w:gridCol w:w="193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tblHeader/>
          <w:jc w:val="center"/>
        </w:trPr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职业卫生管理状况等级</w:t>
            </w:r>
          </w:p>
        </w:tc>
        <w:tc>
          <w:tcPr>
            <w:tcW w:w="5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职业病危害风险等级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tblHeader/>
          <w:jc w:val="center"/>
        </w:trPr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Ⅰ级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Ⅱ级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A级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甲类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甲类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B级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甲类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乙类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C级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乙类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丙类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丙类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textAlignment w:val="auto"/>
        <w:outlineLvl w:val="1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59" w:bottom="1440" w:left="1559" w:header="851" w:footer="1417" w:gutter="0"/>
      <w:pgNumType w:fmt="decimal" w:start="3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黑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"/>
    <w:basedOn w:val="1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spacing w:beforeLines="0" w:afterLines="0"/>
      <w:ind w:firstLine="420" w:firstLineChars="100"/>
    </w:pPr>
    <w:rPr>
      <w:rFonts w:hint="default"/>
      <w:sz w:val="21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2022-11-01T09:09:24Z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