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pStyle w:val="2"/>
        <w:snapToGrid w:val="0"/>
        <w:spacing w:line="180" w:lineRule="auto"/>
        <w:rPr>
          <w:rFonts w:hint="eastAsia" w:ascii="Calibri" w:eastAsia="宋体"/>
          <w:color w:val="000000"/>
          <w:kern w:val="2"/>
          <w:sz w:val="21"/>
          <w:szCs w:val="24"/>
        </w:rPr>
      </w:pPr>
    </w:p>
    <w:p>
      <w:pPr>
        <w:snapToGrid w:val="0"/>
        <w:jc w:val="center"/>
        <w:rPr>
          <w:rFonts w:hint="eastAsia" w:ascii="方正小标宋简体" w:hAnsi="方正小标宋简体" w:eastAsia="方正小标宋简体" w:cs="方正小标宋简体"/>
          <w:color w:val="000000"/>
          <w:kern w:val="0"/>
          <w:sz w:val="44"/>
          <w:szCs w:val="44"/>
        </w:rPr>
      </w:pPr>
      <w:bookmarkStart w:id="0" w:name="_Hlk65054986"/>
      <w:r>
        <w:rPr>
          <w:rFonts w:hint="eastAsia" w:ascii="方正小标宋简体" w:hAnsi="方正小标宋简体" w:eastAsia="方正小标宋简体" w:cs="方正小标宋简体"/>
          <w:color w:val="000000"/>
          <w:kern w:val="0"/>
          <w:sz w:val="44"/>
          <w:szCs w:val="44"/>
        </w:rPr>
        <w:t>危害一般类的放射诊疗建设项目竣工验收现场审核表</w:t>
      </w:r>
    </w:p>
    <w:bookmarkEnd w:id="0"/>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97"/>
        <w:gridCol w:w="676"/>
        <w:gridCol w:w="1786"/>
        <w:gridCol w:w="790"/>
        <w:gridCol w:w="1067"/>
        <w:gridCol w:w="493"/>
        <w:gridCol w:w="415"/>
        <w:gridCol w:w="125"/>
        <w:gridCol w:w="540"/>
        <w:gridCol w:w="325"/>
        <w:gridCol w:w="21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488" w:type="dxa"/>
            <w:gridSpan w:val="2"/>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医疗机构</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名    称</w:t>
            </w:r>
          </w:p>
        </w:tc>
        <w:tc>
          <w:tcPr>
            <w:tcW w:w="5227" w:type="dxa"/>
            <w:gridSpan w:val="6"/>
            <w:noWrap w:val="0"/>
            <w:vAlign w:val="center"/>
          </w:tcPr>
          <w:p>
            <w:pPr>
              <w:spacing w:line="260" w:lineRule="exact"/>
              <w:jc w:val="center"/>
              <w:rPr>
                <w:rFonts w:hint="eastAsia" w:ascii="仿宋_GB2312" w:hAnsi="仿宋_GB2312" w:eastAsia="仿宋_GB2312" w:cs="仿宋_GB2312"/>
                <w:color w:val="000000"/>
                <w:sz w:val="24"/>
              </w:rPr>
            </w:pPr>
          </w:p>
        </w:tc>
        <w:tc>
          <w:tcPr>
            <w:tcW w:w="990" w:type="dxa"/>
            <w:gridSpan w:val="3"/>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负责人</w:t>
            </w:r>
          </w:p>
        </w:tc>
        <w:tc>
          <w:tcPr>
            <w:tcW w:w="937" w:type="dxa"/>
            <w:gridSpan w:val="2"/>
            <w:noWrap w:val="0"/>
            <w:vAlign w:val="center"/>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488" w:type="dxa"/>
            <w:gridSpan w:val="2"/>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462" w:type="dxa"/>
            <w:gridSpan w:val="2"/>
            <w:noWrap w:val="0"/>
            <w:vAlign w:val="center"/>
          </w:tcPr>
          <w:p>
            <w:pPr>
              <w:spacing w:line="260" w:lineRule="exact"/>
              <w:jc w:val="center"/>
              <w:rPr>
                <w:rFonts w:hint="eastAsia" w:ascii="仿宋_GB2312" w:hAnsi="仿宋_GB2312" w:eastAsia="仿宋_GB2312" w:cs="仿宋_GB2312"/>
                <w:color w:val="000000"/>
                <w:sz w:val="24"/>
              </w:rPr>
            </w:pPr>
          </w:p>
        </w:tc>
        <w:tc>
          <w:tcPr>
            <w:tcW w:w="790"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电话</w:t>
            </w:r>
          </w:p>
        </w:tc>
        <w:tc>
          <w:tcPr>
            <w:tcW w:w="1975" w:type="dxa"/>
            <w:gridSpan w:val="3"/>
            <w:noWrap w:val="0"/>
            <w:vAlign w:val="center"/>
          </w:tcPr>
          <w:p>
            <w:pPr>
              <w:spacing w:line="260" w:lineRule="exact"/>
              <w:jc w:val="center"/>
              <w:rPr>
                <w:rFonts w:hint="eastAsia" w:ascii="仿宋_GB2312" w:hAnsi="仿宋_GB2312" w:eastAsia="仿宋_GB2312" w:cs="仿宋_GB2312"/>
                <w:color w:val="000000"/>
                <w:sz w:val="24"/>
              </w:rPr>
            </w:pPr>
          </w:p>
        </w:tc>
        <w:tc>
          <w:tcPr>
            <w:tcW w:w="990" w:type="dxa"/>
            <w:gridSpan w:val="3"/>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w:t>
            </w:r>
          </w:p>
        </w:tc>
        <w:tc>
          <w:tcPr>
            <w:tcW w:w="937" w:type="dxa"/>
            <w:gridSpan w:val="2"/>
            <w:noWrap w:val="0"/>
            <w:vAlign w:val="center"/>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88" w:type="dxa"/>
            <w:gridSpan w:val="2"/>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审核项目</w:t>
            </w:r>
          </w:p>
        </w:tc>
        <w:tc>
          <w:tcPr>
            <w:tcW w:w="676"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3643" w:type="dxa"/>
            <w:gridSpan w:val="3"/>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 核 内 容</w:t>
            </w:r>
          </w:p>
        </w:tc>
        <w:tc>
          <w:tcPr>
            <w:tcW w:w="2835" w:type="dxa"/>
            <w:gridSpan w:val="7"/>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488" w:type="dxa"/>
            <w:gridSpan w:val="2"/>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3643" w:type="dxa"/>
            <w:gridSpan w:val="3"/>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493"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符合</w:t>
            </w:r>
          </w:p>
        </w:tc>
        <w:tc>
          <w:tcPr>
            <w:tcW w:w="540" w:type="dxa"/>
            <w:gridSpan w:val="2"/>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基本符合</w:t>
            </w:r>
          </w:p>
        </w:tc>
        <w:tc>
          <w:tcPr>
            <w:tcW w:w="540"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不符合</w:t>
            </w:r>
          </w:p>
        </w:tc>
        <w:tc>
          <w:tcPr>
            <w:tcW w:w="540" w:type="dxa"/>
            <w:gridSpan w:val="2"/>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不适用</w:t>
            </w:r>
          </w:p>
        </w:tc>
        <w:tc>
          <w:tcPr>
            <w:tcW w:w="722"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88" w:type="dxa"/>
            <w:gridSpan w:val="2"/>
            <w:vMerge w:val="restart"/>
            <w:tcBorders>
              <w:bottom w:val="single" w:color="auto" w:sz="4" w:space="0"/>
            </w:tcBorders>
            <w:noWrap w:val="0"/>
            <w:textDirection w:val="tbRlV"/>
            <w:vAlign w:val="center"/>
          </w:tcPr>
          <w:p>
            <w:pPr>
              <w:spacing w:line="260" w:lineRule="exact"/>
              <w:ind w:left="113" w:right="1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 基本条件</w:t>
            </w:r>
          </w:p>
        </w:tc>
        <w:tc>
          <w:tcPr>
            <w:tcW w:w="676" w:type="dxa"/>
            <w:tcBorders>
              <w:bottom w:val="single" w:color="auto" w:sz="4" w:space="0"/>
            </w:tcBorders>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643" w:type="dxa"/>
            <w:gridSpan w:val="3"/>
            <w:tcBorders>
              <w:bottom w:val="nil"/>
            </w:tcBorders>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有符合国家相关标准和规定的放射诊疗场所</w:t>
            </w:r>
          </w:p>
        </w:tc>
        <w:tc>
          <w:tcPr>
            <w:tcW w:w="493" w:type="dxa"/>
            <w:tcBorders>
              <w:bottom w:val="nil"/>
            </w:tcBorders>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tcBorders>
              <w:bottom w:val="nil"/>
            </w:tcBorders>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8" w:type="dxa"/>
            <w:gridSpan w:val="2"/>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有质量控制与安全防护专（兼）职管理人员</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88" w:type="dxa"/>
            <w:gridSpan w:val="2"/>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制定了质量控制与安全防护管理制度</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488" w:type="dxa"/>
            <w:gridSpan w:val="2"/>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工作人员接受防护知识培训并取得放射工作人员证</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88" w:type="dxa"/>
            <w:gridSpan w:val="2"/>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为工作人员建立了个人剂量、职业健康监护档案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488" w:type="dxa"/>
            <w:gridSpan w:val="2"/>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有放射事件应急处理预案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691"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w:t>
            </w:r>
          </w:p>
          <w:p>
            <w:pPr>
              <w:spacing w:line="260" w:lineRule="exact"/>
              <w:jc w:val="center"/>
              <w:rPr>
                <w:rFonts w:hint="eastAsia" w:ascii="仿宋_GB2312" w:hAnsi="仿宋_GB2312" w:eastAsia="仿宋_GB2312" w:cs="仿宋_GB2312"/>
                <w:color w:val="000000"/>
                <w:sz w:val="24"/>
              </w:rPr>
            </w:pP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介</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入</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放</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射</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w:t>
            </w:r>
          </w:p>
        </w:tc>
        <w:tc>
          <w:tcPr>
            <w:tcW w:w="797"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有大学本科以上学历或中级以上专业技术职务任职资格的放射影像医师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有放射影像技师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有相关内、外科的专业技术人员</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设备和防护用品</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具有带影像增强器的医用诊断X射线机、数字减影装置等设备</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有工作人员防护用品和受检者个人防护用品</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警示标志</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工作场所的入口处，设有电离辐射警告标志和工作指示灯</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安全防护与质量保证</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有介入放射学设备放射防护性能报告</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有工作场所和防护设施检测报告</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工作人员应当按照有关规定配戴个人剂量计</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3643" w:type="dxa"/>
            <w:gridSpan w:val="3"/>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rPr>
              <w:t>有介入放射学诊疗质量保证方案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gridSpan w:val="2"/>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bl>
    <w:p/>
    <w:p>
      <w:pPr>
        <w:pStyle w:val="2"/>
      </w:pP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97"/>
        <w:gridCol w:w="676"/>
        <w:gridCol w:w="3643"/>
        <w:gridCol w:w="493"/>
        <w:gridCol w:w="540"/>
        <w:gridCol w:w="540"/>
        <w:gridCol w:w="54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91" w:type="dxa"/>
            <w:vMerge w:val="restart"/>
            <w:noWrap w:val="0"/>
            <w:vAlign w:val="center"/>
          </w:tcPr>
          <w:p>
            <w:pPr>
              <w:spacing w:line="260" w:lineRule="exact"/>
              <w:ind w:firstLine="117" w:firstLineChars="49"/>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w:t>
            </w:r>
          </w:p>
          <w:p>
            <w:pPr>
              <w:spacing w:line="260" w:lineRule="exact"/>
              <w:jc w:val="center"/>
              <w:rPr>
                <w:rFonts w:hint="eastAsia" w:ascii="仿宋_GB2312" w:hAnsi="仿宋_GB2312" w:eastAsia="仿宋_GB2312" w:cs="仿宋_GB2312"/>
                <w:color w:val="000000"/>
                <w:sz w:val="24"/>
              </w:rPr>
            </w:pP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X</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射</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线</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影</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像</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诊</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断</w:t>
            </w:r>
          </w:p>
        </w:tc>
        <w:tc>
          <w:tcPr>
            <w:tcW w:w="797"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有专业的放射影像医师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设备和防护用品</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有医用诊断X射线机或CT机等设备</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center"/>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有工作人员防护用品和受检者个人防护用品</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3.3</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警示标志</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工作场所的入口处，设有电离辐射警告标志和工作指示灯</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restart"/>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3.4</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安全防护与质量保证</w:t>
            </w: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有影像设备放射防护性能报告</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有工作场所和防护设施检测报告</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工作人员应当按照有关规定配戴个人剂量计</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91"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797" w:type="dxa"/>
            <w:vMerge w:val="continue"/>
            <w:noWrap w:val="0"/>
            <w:vAlign w:val="top"/>
          </w:tcPr>
          <w:p>
            <w:pPr>
              <w:spacing w:line="260" w:lineRule="exact"/>
              <w:jc w:val="center"/>
              <w:rPr>
                <w:rFonts w:hint="eastAsia" w:ascii="仿宋_GB2312" w:hAnsi="仿宋_GB2312" w:eastAsia="仿宋_GB2312" w:cs="仿宋_GB2312"/>
                <w:color w:val="000000"/>
                <w:sz w:val="24"/>
              </w:rPr>
            </w:pPr>
          </w:p>
        </w:tc>
        <w:tc>
          <w:tcPr>
            <w:tcW w:w="676" w:type="dxa"/>
            <w:noWrap w:val="0"/>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3643" w:type="dxa"/>
            <w:noWrap w:val="0"/>
            <w:vAlign w:val="center"/>
          </w:tcPr>
          <w:p>
            <w:pPr>
              <w:spacing w:line="2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有X射线影像诊断质量保证方案</w:t>
            </w:r>
          </w:p>
        </w:tc>
        <w:tc>
          <w:tcPr>
            <w:tcW w:w="493"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91" w:type="dxa"/>
            <w:noWrap w:val="0"/>
            <w:vAlign w:val="top"/>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116" w:type="dxa"/>
            <w:gridSpan w:val="3"/>
            <w:noWrap w:val="0"/>
            <w:vAlign w:val="top"/>
          </w:tcPr>
          <w:p>
            <w:pPr>
              <w:spacing w:line="260" w:lineRule="exact"/>
              <w:jc w:val="center"/>
              <w:rPr>
                <w:rFonts w:hint="eastAsia" w:ascii="仿宋_GB2312" w:hAnsi="仿宋_GB2312" w:eastAsia="仿宋_GB2312" w:cs="仿宋_GB2312"/>
                <w:color w:val="000000"/>
                <w:sz w:val="24"/>
              </w:rPr>
            </w:pPr>
          </w:p>
        </w:tc>
        <w:tc>
          <w:tcPr>
            <w:tcW w:w="493" w:type="dxa"/>
            <w:noWrap w:val="0"/>
            <w:vAlign w:val="center"/>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540" w:type="dxa"/>
            <w:noWrap w:val="0"/>
            <w:vAlign w:val="top"/>
          </w:tcPr>
          <w:p>
            <w:pPr>
              <w:spacing w:line="260" w:lineRule="exact"/>
              <w:jc w:val="center"/>
              <w:rPr>
                <w:rFonts w:hint="eastAsia" w:ascii="仿宋_GB2312" w:hAnsi="仿宋_GB2312" w:eastAsia="仿宋_GB2312" w:cs="仿宋_GB2312"/>
                <w:color w:val="000000"/>
                <w:sz w:val="24"/>
              </w:rPr>
            </w:pPr>
          </w:p>
        </w:tc>
        <w:tc>
          <w:tcPr>
            <w:tcW w:w="722" w:type="dxa"/>
            <w:noWrap w:val="0"/>
            <w:vAlign w:val="top"/>
          </w:tcPr>
          <w:p>
            <w:pPr>
              <w:spacing w:line="26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642" w:type="dxa"/>
            <w:gridSpan w:val="9"/>
            <w:tcBorders>
              <w:bottom w:val="single" w:color="auto" w:sz="4" w:space="0"/>
            </w:tcBorders>
            <w:noWrap w:val="0"/>
            <w:vAlign w:val="top"/>
          </w:tcPr>
          <w:p>
            <w:pPr>
              <w:spacing w:line="2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被审核医疗机构陪检人员签字：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8642" w:type="dxa"/>
            <w:gridSpan w:val="9"/>
            <w:tcBorders>
              <w:top w:val="single" w:color="auto" w:sz="4" w:space="0"/>
            </w:tcBorders>
            <w:noWrap w:val="0"/>
            <w:vAlign w:val="top"/>
          </w:tcPr>
          <w:p>
            <w:pPr>
              <w:spacing w:line="2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现场审核结论:</w:t>
            </w:r>
          </w:p>
          <w:p>
            <w:pPr>
              <w:spacing w:line="260" w:lineRule="exact"/>
              <w:rPr>
                <w:rFonts w:hint="eastAsia" w:ascii="仿宋_GB2312" w:hAnsi="仿宋_GB2312" w:eastAsia="仿宋_GB2312" w:cs="仿宋_GB2312"/>
                <w:color w:val="000000"/>
                <w:kern w:val="0"/>
                <w:sz w:val="24"/>
              </w:rPr>
            </w:pPr>
          </w:p>
          <w:p>
            <w:pPr>
              <w:spacing w:line="260" w:lineRule="exact"/>
              <w:rPr>
                <w:rFonts w:hint="eastAsia" w:ascii="仿宋_GB2312" w:hAnsi="仿宋_GB2312" w:eastAsia="仿宋_GB2312" w:cs="仿宋_GB2312"/>
                <w:color w:val="000000"/>
                <w:kern w:val="0"/>
                <w:sz w:val="24"/>
              </w:rPr>
            </w:pPr>
          </w:p>
          <w:p>
            <w:pPr>
              <w:spacing w:line="260" w:lineRule="exact"/>
              <w:rPr>
                <w:rFonts w:hint="eastAsia" w:ascii="仿宋_GB2312" w:hAnsi="仿宋_GB2312" w:eastAsia="仿宋_GB2312" w:cs="仿宋_GB2312"/>
                <w:color w:val="000000"/>
                <w:kern w:val="0"/>
                <w:sz w:val="24"/>
              </w:rPr>
            </w:pPr>
          </w:p>
          <w:p>
            <w:pPr>
              <w:spacing w:line="260" w:lineRule="exact"/>
              <w:rPr>
                <w:rFonts w:hint="eastAsia" w:ascii="仿宋_GB2312" w:hAnsi="仿宋_GB2312" w:eastAsia="仿宋_GB2312" w:cs="仿宋_GB2312"/>
                <w:color w:val="000000"/>
                <w:kern w:val="0"/>
                <w:sz w:val="24"/>
              </w:rPr>
            </w:pPr>
          </w:p>
          <w:p>
            <w:pPr>
              <w:spacing w:line="260" w:lineRule="exact"/>
              <w:rPr>
                <w:rFonts w:hint="eastAsia" w:ascii="仿宋_GB2312" w:hAnsi="仿宋_GB2312" w:eastAsia="仿宋_GB2312" w:cs="仿宋_GB2312"/>
                <w:color w:val="000000"/>
                <w:kern w:val="0"/>
                <w:sz w:val="24"/>
              </w:rPr>
            </w:pPr>
          </w:p>
          <w:p>
            <w:pPr>
              <w:spacing w:line="260" w:lineRule="exact"/>
              <w:ind w:left="19" w:firstLine="4584" w:firstLineChars="191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审核人员签字：</w:t>
            </w:r>
          </w:p>
          <w:p>
            <w:pPr>
              <w:spacing w:line="260" w:lineRule="exact"/>
              <w:ind w:left="19" w:firstLine="4584" w:firstLineChars="1910"/>
              <w:rPr>
                <w:rFonts w:hint="eastAsia" w:ascii="仿宋_GB2312" w:hAnsi="仿宋_GB2312" w:eastAsia="仿宋_GB2312" w:cs="仿宋_GB2312"/>
                <w:color w:val="000000"/>
                <w:kern w:val="0"/>
                <w:sz w:val="24"/>
              </w:rPr>
            </w:pPr>
          </w:p>
          <w:p>
            <w:pPr>
              <w:spacing w:line="260" w:lineRule="exact"/>
              <w:ind w:firstLine="6264" w:firstLineChars="2610"/>
              <w:rPr>
                <w:rFonts w:hint="eastAsia" w:ascii="仿宋_GB2312" w:hAnsi="仿宋_GB2312" w:eastAsia="仿宋_GB2312" w:cs="仿宋_GB2312"/>
                <w:color w:val="000000"/>
                <w:kern w:val="0"/>
                <w:sz w:val="24"/>
              </w:rPr>
            </w:pPr>
          </w:p>
          <w:p>
            <w:pPr>
              <w:spacing w:line="260" w:lineRule="exact"/>
              <w:ind w:firstLine="6384" w:firstLineChars="26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p>
            <w:pPr>
              <w:spacing w:line="260" w:lineRule="exact"/>
              <w:ind w:firstLine="6384" w:firstLineChars="2660"/>
              <w:rPr>
                <w:rFonts w:hint="eastAsia" w:ascii="仿宋_GB2312" w:hAnsi="仿宋_GB2312" w:eastAsia="仿宋_GB2312" w:cs="仿宋_GB2312"/>
                <w:color w:val="000000"/>
                <w:kern w:val="0"/>
                <w:sz w:val="24"/>
              </w:rPr>
            </w:pPr>
          </w:p>
        </w:tc>
      </w:tr>
    </w:tbl>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备注：序号中带“*”的项目为“关键项”，其他为“一般项”，“不适用”项不列入审核统计。</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审  核  标  准</w:t>
      </w:r>
    </w:p>
    <w:tbl>
      <w:tblPr>
        <w:tblStyle w:val="4"/>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3227"/>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46" w:type="dxa"/>
            <w:tcBorders>
              <w:bottom w:val="single" w:color="auto" w:sz="4" w:space="0"/>
            </w:tcBorders>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审核结论</w:t>
            </w:r>
          </w:p>
        </w:tc>
        <w:tc>
          <w:tcPr>
            <w:tcW w:w="3227" w:type="dxa"/>
            <w:tcBorders>
              <w:bottom w:val="single" w:color="auto" w:sz="4" w:space="0"/>
            </w:tcBorders>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关 键 项</w:t>
            </w:r>
          </w:p>
        </w:tc>
        <w:tc>
          <w:tcPr>
            <w:tcW w:w="4120" w:type="dxa"/>
            <w:tcBorders>
              <w:bottom w:val="single" w:color="auto" w:sz="4" w:space="0"/>
            </w:tcBorders>
            <w:noWrap w:val="0"/>
            <w:vAlign w:val="center"/>
          </w:tcPr>
          <w:p>
            <w:pPr>
              <w:spacing w:line="260" w:lineRule="exact"/>
              <w:ind w:left="5" w:leftChars="-19" w:hanging="45" w:hangingChars="19"/>
              <w:jc w:val="center"/>
              <w:rPr>
                <w:rFonts w:hint="eastAsia" w:ascii="仿宋_GB2312" w:hAnsi="仿宋_GB2312" w:eastAsia="仿宋_GB2312" w:cs="仿宋_GB2312"/>
                <w:sz w:val="24"/>
              </w:rPr>
            </w:pPr>
            <w:r>
              <w:rPr>
                <w:rFonts w:hint="eastAsia" w:ascii="仿宋_GB2312" w:hAnsi="仿宋_GB2312" w:eastAsia="仿宋_GB2312" w:cs="仿宋_GB2312"/>
                <w:sz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46"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建议通过</w:t>
            </w:r>
          </w:p>
        </w:tc>
        <w:tc>
          <w:tcPr>
            <w:tcW w:w="3227"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全部符合或基本符合</w:t>
            </w:r>
          </w:p>
        </w:tc>
        <w:tc>
          <w:tcPr>
            <w:tcW w:w="4120" w:type="dxa"/>
            <w:noWrap w:val="0"/>
            <w:vAlign w:val="center"/>
          </w:tcPr>
          <w:p>
            <w:pPr>
              <w:spacing w:line="260" w:lineRule="exact"/>
              <w:jc w:val="center"/>
              <w:rPr>
                <w:rFonts w:hint="eastAsia" w:ascii="仿宋_GB2312" w:hAnsi="仿宋_GB2312" w:eastAsia="仿宋_GB2312" w:cs="仿宋_GB2312"/>
                <w:color w:val="FF6600"/>
                <w:sz w:val="24"/>
              </w:rPr>
            </w:pPr>
            <w:r>
              <w:rPr>
                <w:rFonts w:hint="eastAsia" w:ascii="仿宋_GB2312" w:hAnsi="仿宋_GB2312" w:eastAsia="仿宋_GB2312" w:cs="仿宋_GB2312"/>
                <w:sz w:val="24"/>
              </w:rPr>
              <w:t>不符合项不超过一般项总数的15%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446"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建议整改</w:t>
            </w:r>
          </w:p>
        </w:tc>
        <w:tc>
          <w:tcPr>
            <w:tcW w:w="3227"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有不符合项，但不超过2项</w:t>
            </w:r>
          </w:p>
        </w:tc>
        <w:tc>
          <w:tcPr>
            <w:tcW w:w="4120"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不符合项不超过一般项总数的30%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446"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建议不通过</w:t>
            </w:r>
          </w:p>
        </w:tc>
        <w:tc>
          <w:tcPr>
            <w:tcW w:w="3227"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不符合项超过2项</w:t>
            </w:r>
          </w:p>
        </w:tc>
        <w:tc>
          <w:tcPr>
            <w:tcW w:w="4120" w:type="dxa"/>
            <w:noWrap w:val="0"/>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不符合项超过一般项总数的30%</w:t>
            </w:r>
          </w:p>
        </w:tc>
      </w:tr>
    </w:tbl>
    <w:p>
      <w:pPr>
        <w:rPr>
          <w:rFonts w:hint="eastAsia" w:ascii="仿宋_GB2312" w:hAnsi="仿宋_GB2312" w:eastAsia="仿宋_GB2312" w:cs="仿宋_GB2312"/>
        </w:rPr>
      </w:pPr>
    </w:p>
    <w:p>
      <w:pPr>
        <w:pStyle w:val="2"/>
        <w:rPr>
          <w:rFonts w:hint="eastAsia"/>
        </w:rPr>
      </w:pPr>
    </w:p>
    <w:p>
      <w:pPr>
        <w:pStyle w:val="2"/>
        <w:spacing w:line="600" w:lineRule="exac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3"/>
          <w:cols w:space="720" w:num="1"/>
          <w:docGrid w:type="lines" w:linePitch="312" w:charSpace="0"/>
        </w:sectPr>
      </w:pPr>
    </w:p>
    <w:tbl>
      <w:tblPr>
        <w:tblStyle w:val="4"/>
        <w:tblpPr w:leftFromText="180" w:rightFromText="180" w:vertAnchor="text" w:horzAnchor="page" w:tblpX="1720" w:tblpY="117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753" w:type="dxa"/>
            <w:gridSpan w:val="2"/>
            <w:tcBorders>
              <w:top w:val="single" w:color="auto" w:sz="4" w:space="0"/>
              <w:left w:val="nil"/>
              <w:bottom w:val="single" w:color="auto" w:sz="4" w:space="0"/>
              <w:right w:val="nil"/>
            </w:tcBorders>
            <w:noWrap w:val="0"/>
            <w:vAlign w:val="top"/>
          </w:tcPr>
          <w:p>
            <w:pPr>
              <w:snapToGrid w:val="0"/>
              <w:spacing w:line="570" w:lineRule="exact"/>
              <w:ind w:left="-53" w:leftChars="-25" w:right="126" w:rightChars="60" w:firstLine="321" w:firstLineChars="120"/>
              <w:rPr>
                <w:rFonts w:hint="eastAsia" w:ascii="仿宋_GB2312" w:hAnsi="Times New Roman" w:eastAsia="仿宋_GB2312"/>
                <w:snapToGrid w:val="0"/>
                <w:spacing w:val="-6"/>
                <w:kern w:val="0"/>
                <w:sz w:val="28"/>
              </w:rPr>
            </w:pPr>
            <w:r>
              <w:rPr>
                <w:rFonts w:hint="eastAsia" w:ascii="仿宋_GB2312" w:hAnsi="Times New Roman" w:eastAsia="仿宋_GB2312"/>
                <w:snapToGrid w:val="0"/>
                <w:spacing w:val="-6"/>
                <w:kern w:val="0"/>
                <w:sz w:val="28"/>
                <w:lang w:val="en-US" w:eastAsia="zh-CN"/>
              </w:rPr>
              <w:t>抄</w:t>
            </w:r>
            <w:r>
              <w:rPr>
                <w:rFonts w:hint="eastAsia" w:ascii="仿宋_GB2312" w:hAnsi="Times New Roman" w:eastAsia="仿宋_GB2312"/>
                <w:snapToGrid w:val="0"/>
                <w:spacing w:val="-6"/>
                <w:kern w:val="0"/>
                <w:sz w:val="28"/>
              </w:rPr>
              <w:t>送：</w:t>
            </w:r>
            <w:bookmarkStart w:id="1" w:name="主送"/>
            <w:r>
              <w:rPr>
                <w:rFonts w:hint="eastAsia" w:ascii="仿宋_GB2312" w:hAnsi="Times New Roman" w:eastAsia="仿宋_GB2312"/>
                <w:snapToGrid w:val="0"/>
                <w:spacing w:val="-6"/>
                <w:kern w:val="0"/>
                <w:sz w:val="28"/>
              </w:rPr>
              <w:t>省职控中心、省卫生健康监督所，在闽注册放射卫生技术服务</w:t>
            </w:r>
          </w:p>
          <w:p>
            <w:pPr>
              <w:snapToGrid w:val="0"/>
              <w:spacing w:line="570" w:lineRule="exact"/>
              <w:ind w:left="-53" w:leftChars="-25" w:right="126" w:rightChars="60" w:firstLine="1122" w:firstLineChars="419"/>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rPr>
              <w:t>机构</w:t>
            </w:r>
            <w:r>
              <w:rPr>
                <w:rFonts w:hint="eastAsia" w:ascii="仿宋_GB2312" w:hAnsi="Times New Roman" w:eastAsia="仿宋_GB2312"/>
                <w:snapToGrid w:val="0"/>
                <w:spacing w:val="-6"/>
                <w:kern w:val="0"/>
                <w:sz w:val="28"/>
                <w:lang w:eastAsia="zh-CN"/>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7" w:type="dxa"/>
            <w:tcBorders>
              <w:top w:val="single" w:color="auto" w:sz="4" w:space="0"/>
              <w:left w:val="nil"/>
              <w:bottom w:val="single" w:color="auto" w:sz="4" w:space="0"/>
              <w:right w:val="nil"/>
            </w:tcBorders>
            <w:noWrap w:val="0"/>
            <w:vAlign w:val="top"/>
          </w:tcPr>
          <w:p>
            <w:pPr>
              <w:snapToGrid w:val="0"/>
              <w:spacing w:line="570" w:lineRule="exact"/>
              <w:ind w:left="0" w:leftChars="0" w:right="126" w:rightChars="60" w:firstLine="268" w:firstLineChars="100"/>
              <w:jc w:val="both"/>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szCs w:val="28"/>
              </w:rPr>
              <w:t>福建省卫生健康委员会办公室</w:t>
            </w:r>
          </w:p>
        </w:tc>
        <w:tc>
          <w:tcPr>
            <w:tcW w:w="4486" w:type="dxa"/>
            <w:tcBorders>
              <w:top w:val="single" w:color="auto" w:sz="4" w:space="0"/>
              <w:left w:val="nil"/>
              <w:bottom w:val="single" w:color="auto" w:sz="4" w:space="0"/>
              <w:right w:val="nil"/>
            </w:tcBorders>
            <w:noWrap w:val="0"/>
            <w:vAlign w:val="top"/>
          </w:tcPr>
          <w:p>
            <w:pPr>
              <w:snapToGrid w:val="0"/>
              <w:spacing w:line="570" w:lineRule="exact"/>
              <w:ind w:right="126" w:rightChars="60" w:firstLine="67" w:firstLineChars="25"/>
              <w:jc w:val="center"/>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szCs w:val="28"/>
                <w:lang w:val="en-US" w:eastAsia="zh-CN"/>
              </w:rPr>
              <w:t xml:space="preserve">         </w:t>
            </w:r>
            <w:r>
              <w:rPr>
                <w:rFonts w:hint="eastAsia" w:ascii="仿宋_GB2312" w:hAnsi="Times New Roman" w:eastAsia="仿宋_GB2312"/>
                <w:snapToGrid w:val="0"/>
                <w:spacing w:val="-6"/>
                <w:kern w:val="0"/>
                <w:sz w:val="28"/>
                <w:szCs w:val="28"/>
              </w:rPr>
              <w:t xml:space="preserve"> 202</w:t>
            </w:r>
            <w:r>
              <w:rPr>
                <w:rFonts w:hint="eastAsia" w:ascii="仿宋_GB2312" w:hAnsi="Times New Roman" w:eastAsia="仿宋_GB2312"/>
                <w:snapToGrid w:val="0"/>
                <w:spacing w:val="-6"/>
                <w:kern w:val="0"/>
                <w:sz w:val="28"/>
                <w:szCs w:val="28"/>
                <w:lang w:val="en-US" w:eastAsia="zh-CN"/>
              </w:rPr>
              <w:t>2</w:t>
            </w:r>
            <w:r>
              <w:rPr>
                <w:rFonts w:hint="eastAsia" w:ascii="仿宋_GB2312" w:hAnsi="Times New Roman" w:eastAsia="仿宋_GB2312"/>
                <w:snapToGrid w:val="0"/>
                <w:spacing w:val="-6"/>
                <w:kern w:val="0"/>
                <w:sz w:val="28"/>
                <w:szCs w:val="28"/>
              </w:rPr>
              <w:t>年</w:t>
            </w:r>
            <w:r>
              <w:rPr>
                <w:rFonts w:hint="eastAsia" w:ascii="仿宋_GB2312" w:hAnsi="Times New Roman" w:eastAsia="仿宋_GB2312"/>
                <w:snapToGrid w:val="0"/>
                <w:spacing w:val="-6"/>
                <w:kern w:val="0"/>
                <w:sz w:val="28"/>
                <w:szCs w:val="28"/>
                <w:lang w:val="en-US" w:eastAsia="zh-CN"/>
              </w:rPr>
              <w:t>3</w:t>
            </w:r>
            <w:r>
              <w:rPr>
                <w:rFonts w:hint="eastAsia" w:ascii="仿宋_GB2312" w:hAnsi="Times New Roman" w:eastAsia="仿宋_GB2312"/>
                <w:snapToGrid w:val="0"/>
                <w:spacing w:val="-6"/>
                <w:kern w:val="0"/>
                <w:sz w:val="28"/>
                <w:szCs w:val="28"/>
              </w:rPr>
              <w:t>月</w:t>
            </w:r>
            <w:r>
              <w:rPr>
                <w:rFonts w:hint="eastAsia" w:ascii="仿宋_GB2312" w:hAnsi="Times New Roman" w:eastAsia="仿宋_GB2312"/>
                <w:snapToGrid w:val="0"/>
                <w:spacing w:val="-6"/>
                <w:kern w:val="0"/>
                <w:sz w:val="28"/>
                <w:szCs w:val="28"/>
                <w:lang w:val="en-US" w:eastAsia="zh-CN"/>
              </w:rPr>
              <w:t>11</w:t>
            </w:r>
            <w:r>
              <w:rPr>
                <w:rFonts w:hint="eastAsia" w:ascii="仿宋_GB2312" w:hAnsi="Times New Roman" w:eastAsia="仿宋_GB2312"/>
                <w:snapToGrid w:val="0"/>
                <w:spacing w:val="-6"/>
                <w:kern w:val="0"/>
                <w:sz w:val="28"/>
                <w:szCs w:val="28"/>
              </w:rPr>
              <w:t>日印发</w:t>
            </w:r>
          </w:p>
        </w:tc>
      </w:tr>
    </w:tbl>
    <w:p/>
    <w:p>
      <w:pPr>
        <w:pStyle w:val="2"/>
      </w:pPr>
      <w:bookmarkStart w:id="2" w:name="_GoBack"/>
      <w:bookmarkEnd w:id="2"/>
    </w:p>
    <w:sectPr>
      <w:footerReference r:id="rId4" w:type="default"/>
      <w:pgSz w:w="11906" w:h="16838"/>
      <w:pgMar w:top="1440" w:right="1800" w:bottom="1440" w:left="1800"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11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540" w:lineRule="exact"/>
      <w:ind w:firstLine="0" w:firstLineChars="0"/>
      <w:outlineLvl w:val="3"/>
    </w:pPr>
    <w:rPr>
      <w:b/>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2022-03-14T03:05:14Z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A56028F81AD5459FAF4DA76C7626B5B4</vt:lpwstr>
  </property>
</Properties>
</file>