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福建省深入开展职业病危害专项治理</w:t>
      </w:r>
    </w:p>
    <w:p>
      <w:pPr>
        <w:jc w:val="center"/>
        <w:rPr>
          <w:rFonts w:ascii="宋体" w:hAnsi="宋体" w:eastAsia="宋体"/>
          <w:color w:val="000000"/>
          <w:sz w:val="36"/>
          <w:szCs w:val="36"/>
        </w:rPr>
      </w:pPr>
      <w:r>
        <w:rPr>
          <w:rFonts w:hint="eastAsia" w:ascii="方正小标宋简体" w:hAnsi="方正小标宋简体" w:eastAsia="方正小标宋简体" w:cs="方正小标宋简体"/>
          <w:b w:val="0"/>
          <w:bCs w:val="0"/>
          <w:color w:val="000000"/>
          <w:sz w:val="44"/>
          <w:szCs w:val="44"/>
        </w:rPr>
        <w:t>工作方案</w:t>
      </w:r>
    </w:p>
    <w:p>
      <w:pPr>
        <w:rPr>
          <w:rFonts w:hint="eastAsia"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仿宋_GB2312" w:hAnsi="仿宋_GB2312" w:eastAsia="仿宋_GB2312" w:cs="仿宋_GB2312"/>
          <w:color w:val="000000"/>
          <w:sz w:val="32"/>
          <w:szCs w:val="32"/>
        </w:rPr>
        <w:t>　</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为巩固和深化近年我省重点行业职业病危害治理和尘肺病防治攻坚行动成果，</w:t>
      </w:r>
      <w:r>
        <w:rPr>
          <w:rFonts w:hint="eastAsia" w:ascii="仿宋_GB2312" w:hAnsi="仿宋_GB2312" w:eastAsia="仿宋_GB2312" w:cs="仿宋_GB2312"/>
          <w:color w:val="000000"/>
          <w:sz w:val="32"/>
          <w:szCs w:val="32"/>
          <w:lang w:eastAsia="zh-CN"/>
        </w:rPr>
        <w:t>根据国家卫健委专项治理工作要求，</w:t>
      </w:r>
      <w:r>
        <w:rPr>
          <w:rFonts w:hint="eastAsia" w:ascii="仿宋_GB2312" w:hAnsi="仿宋_GB2312" w:eastAsia="仿宋_GB2312" w:cs="仿宋_GB2312"/>
          <w:color w:val="000000"/>
          <w:sz w:val="32"/>
          <w:szCs w:val="32"/>
        </w:rPr>
        <w:t>2022年至2025年在全省范围内深入开展职业病危害专项治理工作</w:t>
      </w:r>
      <w:r>
        <w:rPr>
          <w:rFonts w:hint="eastAsia" w:ascii="仿宋_GB2312" w:hAnsi="仿宋_GB2312" w:eastAsia="仿宋_GB2312" w:cs="仿宋_GB2312"/>
          <w:color w:val="000000"/>
          <w:sz w:val="32"/>
          <w:szCs w:val="32"/>
          <w:lang w:eastAsia="zh-CN"/>
        </w:rPr>
        <w:t>，现制定以下</w:t>
      </w:r>
      <w:r>
        <w:rPr>
          <w:rFonts w:hint="eastAsia" w:ascii="仿宋_GB2312" w:hAnsi="仿宋_GB2312" w:eastAsia="仿宋_GB2312" w:cs="仿宋_GB2312"/>
          <w:color w:val="000000"/>
          <w:sz w:val="32"/>
          <w:szCs w:val="32"/>
        </w:rPr>
        <w:t>工作方案</w:t>
      </w:r>
      <w:r>
        <w:rPr>
          <w:rFonts w:hint="eastAsia" w:ascii="仿宋_GB2312" w:hAnsi="仿宋_GB2312" w:eastAsia="仿宋_GB2312" w:cs="仿宋_GB2312"/>
          <w:color w:val="000000"/>
          <w:sz w:val="32"/>
          <w:szCs w:val="32"/>
          <w:lang w:eastAsia="zh-CN"/>
        </w:rPr>
        <w:t>。</w:t>
      </w:r>
    </w:p>
    <w:p>
      <w:pPr>
        <w:snapToGrid w:val="0"/>
        <w:spacing w:line="590" w:lineRule="exact"/>
        <w:rPr>
          <w:rFonts w:ascii="宋体" w:hAnsi="宋体" w:eastAsia="宋体"/>
          <w:color w:val="000000"/>
          <w:sz w:val="28"/>
          <w:szCs w:val="28"/>
        </w:rPr>
      </w:pPr>
      <w:r>
        <w:rPr>
          <w:rFonts w:ascii="宋体" w:hAnsi="宋体" w:eastAsia="宋体"/>
          <w:color w:val="000000"/>
          <w:sz w:val="28"/>
          <w:szCs w:val="28"/>
        </w:rPr>
        <w:t>　</w:t>
      </w:r>
      <w:r>
        <w:rPr>
          <w:rFonts w:hint="eastAsia" w:ascii="黑体" w:hAnsi="黑体" w:eastAsia="黑体" w:cs="黑体"/>
          <w:color w:val="000000"/>
          <w:sz w:val="32"/>
          <w:szCs w:val="32"/>
        </w:rPr>
        <w:t>　一、目标要求</w:t>
      </w:r>
    </w:p>
    <w:p>
      <w:pPr>
        <w:snapToGrid w:val="0"/>
        <w:spacing w:line="590" w:lineRule="exact"/>
        <w:rPr>
          <w:rFonts w:hint="eastAsia"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楷体_GB2312" w:hAnsi="楷体_GB2312" w:eastAsia="楷体_GB2312" w:cs="楷体_GB2312"/>
          <w:b w:val="0"/>
          <w:bCs w:val="0"/>
          <w:color w:val="000000"/>
          <w:sz w:val="28"/>
          <w:szCs w:val="28"/>
        </w:rPr>
        <w:t>　</w:t>
      </w:r>
      <w:r>
        <w:rPr>
          <w:rFonts w:hint="eastAsia" w:ascii="楷体_GB2312" w:hAnsi="楷体_GB2312" w:eastAsia="楷体_GB2312" w:cs="楷体_GB2312"/>
          <w:b w:val="0"/>
          <w:bCs w:val="0"/>
          <w:color w:val="000000"/>
          <w:sz w:val="32"/>
          <w:szCs w:val="32"/>
        </w:rPr>
        <w:t>（一）总体要求。</w:t>
      </w:r>
      <w:r>
        <w:rPr>
          <w:rFonts w:hint="eastAsia" w:ascii="仿宋_GB2312" w:hAnsi="仿宋_GB2312" w:eastAsia="仿宋_GB2312" w:cs="仿宋_GB2312"/>
          <w:color w:val="000000"/>
          <w:sz w:val="32"/>
          <w:szCs w:val="32"/>
        </w:rPr>
        <w:t>以习近平新时代中国特色社会主义思想为指导，认真贯彻落实党中央、国务院和省委、省政府关于职业病防治工作的决策部署和《职业病防治法》的相关要求，坚持以人民健康为中心，深入实施“健康福建”战略和职业病防治“十四五”规划，以治理粉尘、化学毒物、噪声危害因素浓（强）度超标为主要任务，加强职业健康监督管理，改善工作场所劳动条件，从源头控制和减少职业病危害，保障广大劳动者职业健康。</w:t>
      </w:r>
    </w:p>
    <w:p>
      <w:pPr>
        <w:snapToGrid w:val="0"/>
        <w:spacing w:line="590" w:lineRule="exact"/>
        <w:rPr>
          <w:rFonts w:ascii="仿宋_GB2312" w:hAnsi="仿宋_GB2312" w:eastAsia="仿宋_GB2312" w:cs="仿宋_GB2312"/>
          <w:color w:val="000000"/>
          <w:sz w:val="32"/>
          <w:szCs w:val="32"/>
        </w:rPr>
      </w:pPr>
      <w:r>
        <w:rPr>
          <w:rFonts w:ascii="宋体" w:hAnsi="宋体" w:eastAsia="宋体"/>
          <w:b w:val="0"/>
          <w:bCs w:val="0"/>
          <w:color w:val="000000"/>
          <w:sz w:val="28"/>
          <w:szCs w:val="28"/>
        </w:rPr>
        <w:t>　　</w:t>
      </w:r>
      <w:r>
        <w:rPr>
          <w:rFonts w:hint="eastAsia" w:ascii="楷体_GB2312" w:hAnsi="楷体_GB2312" w:eastAsia="楷体_GB2312" w:cs="楷体_GB2312"/>
          <w:b w:val="0"/>
          <w:bCs w:val="0"/>
          <w:color w:val="000000"/>
          <w:sz w:val="32"/>
          <w:szCs w:val="32"/>
        </w:rPr>
        <w:t>（二）治理范围。</w:t>
      </w:r>
      <w:r>
        <w:rPr>
          <w:rFonts w:hint="eastAsia" w:ascii="仿宋_GB2312" w:hAnsi="仿宋_GB2312" w:eastAsia="仿宋_GB2312" w:cs="仿宋_GB2312"/>
          <w:color w:val="000000"/>
          <w:sz w:val="32"/>
          <w:szCs w:val="32"/>
        </w:rPr>
        <w:t>专项治理范围包括全省9个设区市及平潭综合实验区存在粉尘、化学毒物、噪声危害因素浓（强）度超标且从业人员10人及以上的工业企业（以下简称“治理企业”）。各</w:t>
      </w:r>
      <w:r>
        <w:rPr>
          <w:rFonts w:hint="eastAsia" w:ascii="仿宋_GB2312" w:hAnsi="仿宋_GB2312" w:eastAsia="仿宋_GB2312" w:cs="仿宋_GB2312"/>
          <w:color w:val="000000"/>
          <w:sz w:val="32"/>
          <w:szCs w:val="32"/>
          <w:lang w:eastAsia="zh-CN"/>
        </w:rPr>
        <w:t>级卫生健康部门</w:t>
      </w:r>
      <w:r>
        <w:rPr>
          <w:rFonts w:hint="eastAsia" w:ascii="仿宋_GB2312" w:hAnsi="仿宋_GB2312" w:eastAsia="仿宋_GB2312" w:cs="仿宋_GB2312"/>
          <w:color w:val="000000"/>
          <w:sz w:val="32"/>
          <w:szCs w:val="32"/>
        </w:rPr>
        <w:t>可根据本地区实际情况，对10人以下的工业企业自行安排治理工作。</w:t>
      </w:r>
    </w:p>
    <w:p>
      <w:pPr>
        <w:snapToGrid w:val="0"/>
        <w:spacing w:line="590" w:lineRule="exact"/>
        <w:rPr>
          <w:rFonts w:hint="eastAsia"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楷体_GB2312" w:hAnsi="楷体_GB2312" w:eastAsia="楷体_GB2312" w:cs="楷体_GB2312"/>
          <w:b w:val="0"/>
          <w:bCs w:val="0"/>
          <w:color w:val="000000"/>
          <w:sz w:val="32"/>
          <w:szCs w:val="32"/>
        </w:rPr>
        <w:t>（三）工作目标。</w:t>
      </w:r>
      <w:r>
        <w:rPr>
          <w:rFonts w:hint="eastAsia" w:ascii="仿宋_GB2312" w:hAnsi="仿宋_GB2312" w:eastAsia="仿宋_GB2312" w:cs="仿宋_GB2312"/>
          <w:color w:val="000000"/>
          <w:sz w:val="32"/>
          <w:szCs w:val="32"/>
        </w:rPr>
        <w:t>到2025年底，全省企业职业病防治主体责任基本落实，职业病危害源头得到有效遏制，工作场所粉尘、化学毒物、噪声等职业病危害状况明显好转，劳动者健康权益得到明显提升，职业病防治工作达到国家和我省职业病防治“十四五”规划的要求。</w:t>
      </w:r>
    </w:p>
    <w:p>
      <w:pPr>
        <w:snapToGrid w:val="0"/>
        <w:spacing w:line="590" w:lineRule="exact"/>
        <w:ind w:firstLine="643" w:firstLineChars="200"/>
        <w:jc w:val="left"/>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——企业职业病防治主体责任基本落实。</w:t>
      </w:r>
      <w:r>
        <w:rPr>
          <w:rFonts w:hint="eastAsia" w:ascii="仿宋_GB2312" w:hAnsi="仿宋_GB2312" w:eastAsia="仿宋_GB2312" w:cs="仿宋_GB2312"/>
          <w:color w:val="000000"/>
          <w:sz w:val="32"/>
          <w:szCs w:val="32"/>
        </w:rPr>
        <w:t>治理企业工作场所粉尘、化学毒物、噪声的岗位合格率达到85%以上，职业病危害项目申报率达到90%以上，工作场所职业病危害因素监测合格率达到85%以上。分年度主要目标：</w:t>
      </w:r>
    </w:p>
    <w:p>
      <w:pPr>
        <w:widowControl/>
        <w:shd w:val="clear" w:color="auto" w:fill="FFFFFF"/>
        <w:snapToGrid w:val="0"/>
        <w:spacing w:line="590" w:lineRule="exact"/>
        <w:ind w:firstLine="645"/>
        <w:jc w:val="center"/>
        <w:rPr>
          <w:rFonts w:ascii="Microsoft YaHei UI" w:hAnsi="Microsoft YaHei UI" w:eastAsia="Microsoft YaHei UI" w:cs="宋体"/>
          <w:b/>
          <w:color w:val="000000"/>
          <w:spacing w:val="8"/>
          <w:kern w:val="0"/>
          <w:sz w:val="24"/>
          <w:szCs w:val="24"/>
        </w:rPr>
      </w:pPr>
      <w:r>
        <w:rPr>
          <w:rFonts w:hint="eastAsia" w:ascii="楷体_GB2312" w:hAnsi="楷体_GB2312" w:eastAsia="楷体_GB2312" w:cs="楷体_GB2312"/>
          <w:b/>
          <w:color w:val="000000"/>
          <w:spacing w:val="8"/>
          <w:kern w:val="0"/>
          <w:sz w:val="32"/>
          <w:szCs w:val="32"/>
        </w:rPr>
        <w:t>2022-2025年专项治理分年度主要目标</w:t>
      </w:r>
    </w:p>
    <w:tbl>
      <w:tblPr>
        <w:tblStyle w:val="9"/>
        <w:tblW w:w="0" w:type="auto"/>
        <w:tblInd w:w="0" w:type="dxa"/>
        <w:shd w:val="clear" w:color="auto" w:fill="FFFFFF"/>
        <w:tblLayout w:type="fixed"/>
        <w:tblCellMar>
          <w:top w:w="0" w:type="dxa"/>
          <w:left w:w="0" w:type="dxa"/>
          <w:bottom w:w="0" w:type="dxa"/>
          <w:right w:w="0" w:type="dxa"/>
        </w:tblCellMar>
      </w:tblPr>
      <w:tblGrid>
        <w:gridCol w:w="850"/>
        <w:gridCol w:w="4238"/>
        <w:gridCol w:w="944"/>
        <w:gridCol w:w="960"/>
        <w:gridCol w:w="964"/>
        <w:gridCol w:w="1101"/>
      </w:tblGrid>
      <w:tr>
        <w:tblPrEx>
          <w:shd w:val="clear" w:color="auto" w:fill="FFFFFF"/>
          <w:tblCellMar>
            <w:top w:w="0" w:type="dxa"/>
            <w:left w:w="0" w:type="dxa"/>
            <w:bottom w:w="0" w:type="dxa"/>
            <w:right w:w="0" w:type="dxa"/>
          </w:tblCellMar>
        </w:tblPrEx>
        <w:trPr>
          <w:trHeight w:val="240" w:hRule="atLeast"/>
        </w:trPr>
        <w:tc>
          <w:tcPr>
            <w:tcW w:w="5088" w:type="dxa"/>
            <w:gridSpan w:val="2"/>
            <w:vMerge w:val="restart"/>
            <w:tcBorders>
              <w:top w:val="single" w:color="000000" w:sz="12" w:space="0"/>
              <w:left w:val="single" w:color="000000" w:sz="12" w:space="0"/>
              <w:right w:val="single" w:color="000000" w:sz="12" w:space="0"/>
            </w:tcBorders>
            <w:shd w:val="clear" w:color="auto" w:fill="FFFFFF"/>
            <w:noWrap w:val="0"/>
            <w:tcMar>
              <w:top w:w="0" w:type="dxa"/>
              <w:left w:w="105" w:type="dxa"/>
              <w:bottom w:w="0" w:type="dxa"/>
              <w:right w:w="105" w:type="dxa"/>
            </w:tcMar>
            <w:vAlign w:val="center"/>
          </w:tcPr>
          <w:p>
            <w:pPr>
              <w:widowControl/>
              <w:wordWrap w:val="0"/>
              <w:snapToGrid w:val="0"/>
              <w:spacing w:line="590" w:lineRule="exact"/>
              <w:jc w:val="center"/>
              <w:rPr>
                <w:rFonts w:ascii="Microsoft YaHei UI" w:hAnsi="Microsoft YaHei UI" w:eastAsia="Microsoft YaHei UI" w:cs="宋体"/>
                <w:color w:val="000000"/>
                <w:spacing w:val="8"/>
                <w:kern w:val="0"/>
                <w:sz w:val="24"/>
                <w:szCs w:val="24"/>
              </w:rPr>
            </w:pPr>
            <w:r>
              <w:rPr>
                <w:rFonts w:hint="eastAsia" w:ascii="宋体" w:hAnsi="宋体" w:eastAsia="宋体" w:cs="宋体"/>
                <w:b/>
                <w:bCs/>
                <w:color w:val="000000"/>
                <w:spacing w:val="8"/>
                <w:kern w:val="0"/>
                <w:sz w:val="24"/>
                <w:szCs w:val="24"/>
              </w:rPr>
              <w:t>指标名称</w:t>
            </w:r>
          </w:p>
        </w:tc>
        <w:tc>
          <w:tcPr>
            <w:tcW w:w="3969" w:type="dxa"/>
            <w:gridSpan w:val="4"/>
            <w:tcBorders>
              <w:top w:val="single" w:color="auto" w:sz="12" w:space="0"/>
              <w:left w:val="nil"/>
              <w:bottom w:val="single" w:color="auto" w:sz="4" w:space="0"/>
              <w:right w:val="single" w:color="auto" w:sz="12" w:space="0"/>
            </w:tcBorders>
            <w:shd w:val="clear" w:color="auto" w:fill="FFFFFF"/>
            <w:noWrap w:val="0"/>
            <w:vAlign w:val="center"/>
          </w:tcPr>
          <w:p>
            <w:pPr>
              <w:widowControl/>
              <w:wordWrap w:val="0"/>
              <w:snapToGrid w:val="0"/>
              <w:spacing w:line="590" w:lineRule="exact"/>
              <w:jc w:val="center"/>
              <w:rPr>
                <w:rFonts w:ascii="Microsoft YaHei UI" w:hAnsi="Microsoft YaHei UI" w:eastAsia="Microsoft YaHei UI" w:cs="宋体"/>
                <w:color w:val="000000"/>
                <w:spacing w:val="8"/>
                <w:kern w:val="0"/>
                <w:sz w:val="24"/>
                <w:szCs w:val="24"/>
              </w:rPr>
            </w:pPr>
            <w:r>
              <w:rPr>
                <w:rFonts w:hint="eastAsia" w:ascii="宋体" w:hAnsi="宋体" w:eastAsia="宋体" w:cs="宋体"/>
                <w:b/>
                <w:bCs/>
                <w:color w:val="000000"/>
                <w:spacing w:val="8"/>
                <w:kern w:val="0"/>
                <w:sz w:val="24"/>
                <w:szCs w:val="24"/>
              </w:rPr>
              <w:t>目标值</w:t>
            </w:r>
          </w:p>
        </w:tc>
      </w:tr>
      <w:tr>
        <w:tblPrEx>
          <w:shd w:val="clear" w:color="auto" w:fill="FFFFFF"/>
          <w:tblCellMar>
            <w:top w:w="0" w:type="dxa"/>
            <w:left w:w="0" w:type="dxa"/>
            <w:bottom w:w="0" w:type="dxa"/>
            <w:right w:w="0" w:type="dxa"/>
          </w:tblCellMar>
        </w:tblPrEx>
        <w:trPr>
          <w:trHeight w:val="150" w:hRule="atLeast"/>
        </w:trPr>
        <w:tc>
          <w:tcPr>
            <w:tcW w:w="5088" w:type="dxa"/>
            <w:gridSpan w:val="2"/>
            <w:vMerge w:val="continue"/>
            <w:tcBorders>
              <w:left w:val="single" w:color="000000" w:sz="12" w:space="0"/>
              <w:bottom w:val="single" w:color="000000" w:sz="12" w:space="0"/>
              <w:right w:val="single" w:color="000000" w:sz="12" w:space="0"/>
            </w:tcBorders>
            <w:shd w:val="clear" w:color="auto" w:fill="FFFFFF"/>
            <w:noWrap w:val="0"/>
            <w:tcMar>
              <w:top w:w="0" w:type="dxa"/>
              <w:left w:w="105" w:type="dxa"/>
              <w:bottom w:w="0" w:type="dxa"/>
              <w:right w:w="105" w:type="dxa"/>
            </w:tcMar>
            <w:vAlign w:val="center"/>
          </w:tcPr>
          <w:p>
            <w:pPr>
              <w:widowControl/>
              <w:wordWrap w:val="0"/>
              <w:snapToGrid w:val="0"/>
              <w:spacing w:line="590" w:lineRule="exact"/>
              <w:jc w:val="center"/>
              <w:rPr>
                <w:rFonts w:ascii="宋体" w:hAnsi="宋体" w:eastAsia="宋体" w:cs="宋体"/>
                <w:b/>
                <w:bCs/>
                <w:color w:val="000000"/>
                <w:spacing w:val="8"/>
                <w:kern w:val="0"/>
                <w:sz w:val="24"/>
                <w:szCs w:val="24"/>
              </w:rPr>
            </w:pPr>
          </w:p>
        </w:tc>
        <w:tc>
          <w:tcPr>
            <w:tcW w:w="944" w:type="dxa"/>
            <w:tcBorders>
              <w:top w:val="single" w:color="auto" w:sz="4" w:space="0"/>
              <w:left w:val="nil"/>
              <w:bottom w:val="single" w:color="auto" w:sz="12" w:space="0"/>
              <w:right w:val="single" w:color="auto" w:sz="4" w:space="0"/>
            </w:tcBorders>
            <w:shd w:val="clear" w:color="auto" w:fill="FFFFFF"/>
            <w:noWrap w:val="0"/>
            <w:vAlign w:val="center"/>
          </w:tcPr>
          <w:p>
            <w:pPr>
              <w:wordWrap w:val="0"/>
              <w:snapToGrid w:val="0"/>
              <w:spacing w:line="590" w:lineRule="exact"/>
              <w:jc w:val="center"/>
              <w:rPr>
                <w:rFonts w:ascii="宋体" w:hAnsi="宋体" w:eastAsia="宋体" w:cs="宋体"/>
                <w:b/>
                <w:bCs/>
                <w:color w:val="000000"/>
                <w:spacing w:val="8"/>
                <w:kern w:val="0"/>
                <w:sz w:val="24"/>
                <w:szCs w:val="24"/>
              </w:rPr>
            </w:pPr>
            <w:r>
              <w:rPr>
                <w:rFonts w:hint="eastAsia" w:ascii="宋体" w:hAnsi="宋体" w:eastAsia="宋体" w:cs="宋体"/>
                <w:b/>
                <w:bCs/>
                <w:color w:val="000000"/>
                <w:spacing w:val="8"/>
                <w:kern w:val="0"/>
                <w:sz w:val="24"/>
                <w:szCs w:val="24"/>
              </w:rPr>
              <w:t>2</w:t>
            </w:r>
            <w:r>
              <w:rPr>
                <w:rFonts w:ascii="宋体" w:hAnsi="宋体" w:eastAsia="宋体" w:cs="宋体"/>
                <w:b/>
                <w:bCs/>
                <w:color w:val="000000"/>
                <w:spacing w:val="8"/>
                <w:kern w:val="0"/>
                <w:sz w:val="24"/>
                <w:szCs w:val="24"/>
              </w:rPr>
              <w:t>022</w:t>
            </w:r>
            <w:r>
              <w:rPr>
                <w:rFonts w:hint="eastAsia" w:ascii="宋体" w:hAnsi="宋体" w:eastAsia="宋体" w:cs="宋体"/>
                <w:b/>
                <w:bCs/>
                <w:color w:val="000000"/>
                <w:spacing w:val="8"/>
                <w:kern w:val="0"/>
                <w:sz w:val="24"/>
                <w:szCs w:val="24"/>
              </w:rPr>
              <w:t>年</w:t>
            </w:r>
          </w:p>
        </w:tc>
        <w:tc>
          <w:tcPr>
            <w:tcW w:w="960"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wordWrap w:val="0"/>
              <w:snapToGrid w:val="0"/>
              <w:spacing w:line="590" w:lineRule="exact"/>
              <w:jc w:val="center"/>
              <w:rPr>
                <w:rFonts w:ascii="宋体" w:hAnsi="宋体" w:eastAsia="宋体" w:cs="宋体"/>
                <w:b/>
                <w:bCs/>
                <w:color w:val="000000"/>
                <w:spacing w:val="8"/>
                <w:kern w:val="0"/>
                <w:sz w:val="24"/>
                <w:szCs w:val="24"/>
              </w:rPr>
            </w:pPr>
            <w:r>
              <w:rPr>
                <w:rFonts w:hint="eastAsia" w:ascii="宋体" w:hAnsi="宋体" w:eastAsia="宋体" w:cs="宋体"/>
                <w:b/>
                <w:bCs/>
                <w:color w:val="000000"/>
                <w:spacing w:val="8"/>
                <w:kern w:val="0"/>
                <w:sz w:val="24"/>
                <w:szCs w:val="24"/>
              </w:rPr>
              <w:t>2</w:t>
            </w:r>
            <w:r>
              <w:rPr>
                <w:rFonts w:ascii="宋体" w:hAnsi="宋体" w:eastAsia="宋体" w:cs="宋体"/>
                <w:b/>
                <w:bCs/>
                <w:color w:val="000000"/>
                <w:spacing w:val="8"/>
                <w:kern w:val="0"/>
                <w:sz w:val="24"/>
                <w:szCs w:val="24"/>
              </w:rPr>
              <w:t>023</w:t>
            </w:r>
            <w:r>
              <w:rPr>
                <w:rFonts w:hint="eastAsia" w:ascii="宋体" w:hAnsi="宋体" w:eastAsia="宋体" w:cs="宋体"/>
                <w:b/>
                <w:bCs/>
                <w:color w:val="000000"/>
                <w:spacing w:val="8"/>
                <w:kern w:val="0"/>
                <w:sz w:val="24"/>
                <w:szCs w:val="24"/>
              </w:rPr>
              <w:t>年</w:t>
            </w:r>
          </w:p>
        </w:tc>
        <w:tc>
          <w:tcPr>
            <w:tcW w:w="964" w:type="dxa"/>
            <w:tcBorders>
              <w:top w:val="single" w:color="auto" w:sz="4" w:space="0"/>
              <w:left w:val="single" w:color="auto" w:sz="4" w:space="0"/>
              <w:bottom w:val="single" w:color="auto" w:sz="12" w:space="0"/>
              <w:right w:val="single" w:color="auto" w:sz="4" w:space="0"/>
            </w:tcBorders>
            <w:shd w:val="clear" w:color="auto" w:fill="FFFFFF"/>
            <w:noWrap w:val="0"/>
            <w:vAlign w:val="center"/>
          </w:tcPr>
          <w:p>
            <w:pPr>
              <w:wordWrap w:val="0"/>
              <w:snapToGrid w:val="0"/>
              <w:spacing w:line="590" w:lineRule="exact"/>
              <w:jc w:val="center"/>
              <w:rPr>
                <w:rFonts w:ascii="宋体" w:hAnsi="宋体" w:eastAsia="宋体" w:cs="宋体"/>
                <w:b/>
                <w:bCs/>
                <w:color w:val="000000"/>
                <w:spacing w:val="8"/>
                <w:kern w:val="0"/>
                <w:sz w:val="24"/>
                <w:szCs w:val="24"/>
              </w:rPr>
            </w:pPr>
            <w:r>
              <w:rPr>
                <w:rFonts w:hint="eastAsia" w:ascii="宋体" w:hAnsi="宋体" w:eastAsia="宋体" w:cs="宋体"/>
                <w:b/>
                <w:bCs/>
                <w:color w:val="000000"/>
                <w:spacing w:val="8"/>
                <w:kern w:val="0"/>
                <w:sz w:val="24"/>
                <w:szCs w:val="24"/>
              </w:rPr>
              <w:t>2</w:t>
            </w:r>
            <w:r>
              <w:rPr>
                <w:rFonts w:ascii="宋体" w:hAnsi="宋体" w:eastAsia="宋体" w:cs="宋体"/>
                <w:b/>
                <w:bCs/>
                <w:color w:val="000000"/>
                <w:spacing w:val="8"/>
                <w:kern w:val="0"/>
                <w:sz w:val="24"/>
                <w:szCs w:val="24"/>
              </w:rPr>
              <w:t>024</w:t>
            </w:r>
            <w:r>
              <w:rPr>
                <w:rFonts w:hint="eastAsia" w:ascii="宋体" w:hAnsi="宋体" w:eastAsia="宋体" w:cs="宋体"/>
                <w:b/>
                <w:bCs/>
                <w:color w:val="000000"/>
                <w:spacing w:val="8"/>
                <w:kern w:val="0"/>
                <w:sz w:val="24"/>
                <w:szCs w:val="24"/>
              </w:rPr>
              <w:t>年</w:t>
            </w:r>
          </w:p>
        </w:tc>
        <w:tc>
          <w:tcPr>
            <w:tcW w:w="1101" w:type="dxa"/>
            <w:tcBorders>
              <w:top w:val="single" w:color="auto" w:sz="4" w:space="0"/>
              <w:left w:val="single" w:color="auto" w:sz="4" w:space="0"/>
              <w:bottom w:val="single" w:color="auto" w:sz="12" w:space="0"/>
              <w:right w:val="single" w:color="auto" w:sz="12" w:space="0"/>
            </w:tcBorders>
            <w:shd w:val="clear" w:color="auto" w:fill="FFFFFF"/>
            <w:noWrap w:val="0"/>
            <w:vAlign w:val="center"/>
          </w:tcPr>
          <w:p>
            <w:pPr>
              <w:wordWrap w:val="0"/>
              <w:snapToGrid w:val="0"/>
              <w:spacing w:line="590" w:lineRule="exact"/>
              <w:jc w:val="center"/>
              <w:rPr>
                <w:rFonts w:ascii="宋体" w:hAnsi="宋体" w:eastAsia="宋体" w:cs="宋体"/>
                <w:b/>
                <w:bCs/>
                <w:color w:val="000000"/>
                <w:spacing w:val="8"/>
                <w:kern w:val="0"/>
                <w:sz w:val="24"/>
                <w:szCs w:val="24"/>
              </w:rPr>
            </w:pPr>
            <w:r>
              <w:rPr>
                <w:rFonts w:hint="eastAsia" w:ascii="宋体" w:hAnsi="宋体" w:eastAsia="宋体" w:cs="宋体"/>
                <w:b/>
                <w:bCs/>
                <w:color w:val="000000"/>
                <w:spacing w:val="8"/>
                <w:kern w:val="0"/>
                <w:sz w:val="24"/>
                <w:szCs w:val="24"/>
              </w:rPr>
              <w:t>2</w:t>
            </w:r>
            <w:r>
              <w:rPr>
                <w:rFonts w:ascii="宋体" w:hAnsi="宋体" w:eastAsia="宋体" w:cs="宋体"/>
                <w:b/>
                <w:bCs/>
                <w:color w:val="000000"/>
                <w:spacing w:val="8"/>
                <w:kern w:val="0"/>
                <w:sz w:val="24"/>
                <w:szCs w:val="24"/>
              </w:rPr>
              <w:t>025</w:t>
            </w:r>
            <w:r>
              <w:rPr>
                <w:rFonts w:hint="eastAsia" w:ascii="宋体" w:hAnsi="宋体" w:eastAsia="宋体" w:cs="宋体"/>
                <w:b/>
                <w:bCs/>
                <w:color w:val="000000"/>
                <w:spacing w:val="8"/>
                <w:kern w:val="0"/>
                <w:sz w:val="24"/>
                <w:szCs w:val="24"/>
              </w:rPr>
              <w:t>年</w:t>
            </w:r>
          </w:p>
        </w:tc>
      </w:tr>
      <w:tr>
        <w:tblPrEx>
          <w:tblCellMar>
            <w:top w:w="0" w:type="dxa"/>
            <w:left w:w="0" w:type="dxa"/>
            <w:bottom w:w="0" w:type="dxa"/>
            <w:right w:w="0" w:type="dxa"/>
          </w:tblCellMar>
        </w:tblPrEx>
        <w:tc>
          <w:tcPr>
            <w:tcW w:w="850" w:type="dxa"/>
            <w:tcBorders>
              <w:top w:val="nil"/>
              <w:left w:val="single" w:color="auto" w:sz="12" w:space="0"/>
              <w:bottom w:val="single" w:color="auto" w:sz="12" w:space="0"/>
              <w:right w:val="single" w:color="auto" w:sz="12" w:space="0"/>
            </w:tcBorders>
            <w:shd w:val="clear" w:color="auto" w:fill="FFFFFF"/>
            <w:noWrap w:val="0"/>
            <w:tcMar>
              <w:top w:w="0" w:type="dxa"/>
              <w:left w:w="105" w:type="dxa"/>
              <w:bottom w:w="0" w:type="dxa"/>
              <w:right w:w="105" w:type="dxa"/>
            </w:tcMar>
            <w:vAlign w:val="center"/>
          </w:tcPr>
          <w:p>
            <w:pPr>
              <w:widowControl/>
              <w:wordWrap w:val="0"/>
              <w:snapToGrid w:val="0"/>
              <w:spacing w:line="590" w:lineRule="exact"/>
              <w:jc w:val="left"/>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w:t>
            </w:r>
          </w:p>
        </w:tc>
        <w:tc>
          <w:tcPr>
            <w:tcW w:w="4238" w:type="dxa"/>
            <w:tcBorders>
              <w:top w:val="nil"/>
              <w:left w:val="nil"/>
              <w:bottom w:val="single" w:color="auto" w:sz="12" w:space="0"/>
              <w:right w:val="single" w:color="auto" w:sz="12" w:space="0"/>
            </w:tcBorders>
            <w:shd w:val="clear" w:color="auto" w:fill="FFFFFF"/>
            <w:noWrap w:val="0"/>
            <w:vAlign w:val="center"/>
          </w:tcPr>
          <w:p>
            <w:pPr>
              <w:widowControl/>
              <w:snapToGrid w:val="0"/>
              <w:spacing w:line="590" w:lineRule="exact"/>
              <w:jc w:val="left"/>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治理企业工作场所存在生产性粉尘、化学毒物、噪声的岗位合格率</w:t>
            </w:r>
          </w:p>
        </w:tc>
        <w:tc>
          <w:tcPr>
            <w:tcW w:w="944" w:type="dxa"/>
            <w:tcBorders>
              <w:top w:val="nil"/>
              <w:left w:val="nil"/>
              <w:bottom w:val="single" w:color="auto" w:sz="12" w:space="0"/>
              <w:right w:val="single" w:color="auto" w:sz="4" w:space="0"/>
            </w:tcBorders>
            <w:shd w:val="clear" w:color="auto" w:fill="FFFFFF"/>
            <w:noWrap w:val="0"/>
            <w:tcMar>
              <w:top w:w="0" w:type="dxa"/>
              <w:left w:w="2" w:type="dxa"/>
              <w:bottom w:w="0" w:type="dxa"/>
              <w:right w:w="2" w:type="dxa"/>
            </w:tcMar>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≥30%</w:t>
            </w:r>
          </w:p>
        </w:tc>
        <w:tc>
          <w:tcPr>
            <w:tcW w:w="960"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≥50%</w:t>
            </w:r>
          </w:p>
        </w:tc>
        <w:tc>
          <w:tcPr>
            <w:tcW w:w="964"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≥70%</w:t>
            </w:r>
          </w:p>
        </w:tc>
        <w:tc>
          <w:tcPr>
            <w:tcW w:w="1101" w:type="dxa"/>
            <w:tcBorders>
              <w:top w:val="nil"/>
              <w:left w:val="single" w:color="auto" w:sz="4" w:space="0"/>
              <w:bottom w:val="single" w:color="auto" w:sz="12" w:space="0"/>
              <w:right w:val="single" w:color="auto" w:sz="12"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≥85%</w:t>
            </w:r>
          </w:p>
        </w:tc>
      </w:tr>
      <w:tr>
        <w:tblPrEx>
          <w:shd w:val="clear" w:color="auto" w:fill="FFFFFF"/>
          <w:tblCellMar>
            <w:top w:w="0" w:type="dxa"/>
            <w:left w:w="0" w:type="dxa"/>
            <w:bottom w:w="0" w:type="dxa"/>
            <w:right w:w="0" w:type="dxa"/>
          </w:tblCellMar>
        </w:tblPrEx>
        <w:trPr>
          <w:trHeight w:val="395" w:hRule="atLeast"/>
        </w:trPr>
        <w:tc>
          <w:tcPr>
            <w:tcW w:w="850" w:type="dxa"/>
            <w:tcBorders>
              <w:top w:val="nil"/>
              <w:left w:val="single" w:color="auto" w:sz="12" w:space="0"/>
              <w:bottom w:val="single" w:color="auto" w:sz="12" w:space="0"/>
              <w:right w:val="single" w:color="auto" w:sz="12" w:space="0"/>
            </w:tcBorders>
            <w:shd w:val="clear" w:color="auto" w:fill="FFFFFF"/>
            <w:noWrap w:val="0"/>
            <w:tcMar>
              <w:top w:w="0" w:type="dxa"/>
              <w:left w:w="105" w:type="dxa"/>
              <w:bottom w:w="0" w:type="dxa"/>
              <w:right w:w="105" w:type="dxa"/>
            </w:tcMar>
            <w:vAlign w:val="center"/>
          </w:tcPr>
          <w:p>
            <w:pPr>
              <w:widowControl/>
              <w:wordWrap w:val="0"/>
              <w:snapToGrid w:val="0"/>
              <w:spacing w:line="590" w:lineRule="exact"/>
              <w:jc w:val="left"/>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w:t>
            </w:r>
          </w:p>
        </w:tc>
        <w:tc>
          <w:tcPr>
            <w:tcW w:w="4238" w:type="dxa"/>
            <w:tcBorders>
              <w:top w:val="nil"/>
              <w:left w:val="nil"/>
              <w:bottom w:val="single" w:color="auto" w:sz="12" w:space="0"/>
              <w:right w:val="single" w:color="auto" w:sz="12" w:space="0"/>
            </w:tcBorders>
            <w:shd w:val="clear" w:color="auto" w:fill="FFFFFF"/>
            <w:noWrap w:val="0"/>
            <w:vAlign w:val="center"/>
          </w:tcPr>
          <w:p>
            <w:pPr>
              <w:widowControl/>
              <w:wordWrap w:val="0"/>
              <w:snapToGrid w:val="0"/>
              <w:spacing w:line="590" w:lineRule="exact"/>
              <w:jc w:val="left"/>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工业企业职业病危害项目申报率</w:t>
            </w:r>
          </w:p>
        </w:tc>
        <w:tc>
          <w:tcPr>
            <w:tcW w:w="944" w:type="dxa"/>
            <w:tcBorders>
              <w:top w:val="nil"/>
              <w:left w:val="nil"/>
              <w:bottom w:val="single" w:color="auto" w:sz="12" w:space="0"/>
              <w:right w:val="single" w:color="auto" w:sz="4" w:space="0"/>
            </w:tcBorders>
            <w:shd w:val="clear" w:color="auto" w:fill="FFFFFF"/>
            <w:noWrap w:val="0"/>
            <w:tcMar>
              <w:top w:w="0" w:type="dxa"/>
              <w:left w:w="2" w:type="dxa"/>
              <w:bottom w:w="0" w:type="dxa"/>
              <w:right w:w="2" w:type="dxa"/>
            </w:tcMar>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≥50%</w:t>
            </w:r>
          </w:p>
        </w:tc>
        <w:tc>
          <w:tcPr>
            <w:tcW w:w="960"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≥65%</w:t>
            </w:r>
          </w:p>
        </w:tc>
        <w:tc>
          <w:tcPr>
            <w:tcW w:w="964"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≥80%</w:t>
            </w:r>
          </w:p>
        </w:tc>
        <w:tc>
          <w:tcPr>
            <w:tcW w:w="1101" w:type="dxa"/>
            <w:tcBorders>
              <w:top w:val="nil"/>
              <w:left w:val="single" w:color="auto" w:sz="4" w:space="0"/>
              <w:bottom w:val="single" w:color="auto" w:sz="12" w:space="0"/>
              <w:right w:val="single" w:color="auto" w:sz="12"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≥90%</w:t>
            </w:r>
          </w:p>
        </w:tc>
      </w:tr>
      <w:tr>
        <w:tblPrEx>
          <w:shd w:val="clear" w:color="auto" w:fill="FFFFFF"/>
          <w:tblCellMar>
            <w:top w:w="0" w:type="dxa"/>
            <w:left w:w="0" w:type="dxa"/>
            <w:bottom w:w="0" w:type="dxa"/>
            <w:right w:w="0" w:type="dxa"/>
          </w:tblCellMar>
        </w:tblPrEx>
        <w:trPr>
          <w:trHeight w:val="406" w:hRule="atLeast"/>
        </w:trPr>
        <w:tc>
          <w:tcPr>
            <w:tcW w:w="850" w:type="dxa"/>
            <w:tcBorders>
              <w:top w:val="nil"/>
              <w:left w:val="single" w:color="auto" w:sz="12" w:space="0"/>
              <w:bottom w:val="single" w:color="auto" w:sz="12" w:space="0"/>
              <w:right w:val="single" w:color="auto" w:sz="12" w:space="0"/>
            </w:tcBorders>
            <w:shd w:val="clear" w:color="auto" w:fill="FFFFFF"/>
            <w:noWrap w:val="0"/>
            <w:tcMar>
              <w:top w:w="0" w:type="dxa"/>
              <w:left w:w="105" w:type="dxa"/>
              <w:bottom w:w="0" w:type="dxa"/>
              <w:right w:w="105" w:type="dxa"/>
            </w:tcMar>
            <w:vAlign w:val="center"/>
          </w:tcPr>
          <w:p>
            <w:pPr>
              <w:widowControl/>
              <w:wordWrap w:val="0"/>
              <w:snapToGrid w:val="0"/>
              <w:spacing w:line="590" w:lineRule="exact"/>
              <w:jc w:val="left"/>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（3）</w:t>
            </w:r>
          </w:p>
        </w:tc>
        <w:tc>
          <w:tcPr>
            <w:tcW w:w="4238" w:type="dxa"/>
            <w:tcBorders>
              <w:top w:val="nil"/>
              <w:left w:val="nil"/>
              <w:bottom w:val="single" w:color="auto" w:sz="12" w:space="0"/>
              <w:right w:val="single" w:color="auto" w:sz="12" w:space="0"/>
            </w:tcBorders>
            <w:shd w:val="clear" w:color="auto" w:fill="FFFFFF"/>
            <w:noWrap w:val="0"/>
            <w:vAlign w:val="center"/>
          </w:tcPr>
          <w:p>
            <w:pPr>
              <w:widowControl/>
              <w:wordWrap w:val="0"/>
              <w:snapToGrid w:val="0"/>
              <w:spacing w:line="590" w:lineRule="exact"/>
              <w:jc w:val="left"/>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工作场所职业病危害因素监测合格率</w:t>
            </w:r>
          </w:p>
        </w:tc>
        <w:tc>
          <w:tcPr>
            <w:tcW w:w="944" w:type="dxa"/>
            <w:tcBorders>
              <w:top w:val="nil"/>
              <w:left w:val="nil"/>
              <w:bottom w:val="single" w:color="auto" w:sz="12" w:space="0"/>
              <w:right w:val="single" w:color="auto" w:sz="4" w:space="0"/>
            </w:tcBorders>
            <w:shd w:val="clear" w:color="auto" w:fill="FFFFFF"/>
            <w:noWrap w:val="0"/>
            <w:tcMar>
              <w:top w:w="0" w:type="dxa"/>
              <w:left w:w="2" w:type="dxa"/>
              <w:bottom w:w="0" w:type="dxa"/>
              <w:right w:w="2" w:type="dxa"/>
            </w:tcMar>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≥50%</w:t>
            </w:r>
          </w:p>
        </w:tc>
        <w:tc>
          <w:tcPr>
            <w:tcW w:w="960"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≥65%</w:t>
            </w:r>
          </w:p>
        </w:tc>
        <w:tc>
          <w:tcPr>
            <w:tcW w:w="964" w:type="dxa"/>
            <w:tcBorders>
              <w:top w:val="nil"/>
              <w:left w:val="single" w:color="auto" w:sz="4" w:space="0"/>
              <w:bottom w:val="single" w:color="auto" w:sz="12" w:space="0"/>
              <w:right w:val="single" w:color="auto" w:sz="4"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≥80%</w:t>
            </w:r>
          </w:p>
        </w:tc>
        <w:tc>
          <w:tcPr>
            <w:tcW w:w="1101" w:type="dxa"/>
            <w:tcBorders>
              <w:top w:val="nil"/>
              <w:left w:val="single" w:color="auto" w:sz="4" w:space="0"/>
              <w:bottom w:val="single" w:color="auto" w:sz="12" w:space="0"/>
              <w:right w:val="single" w:color="auto" w:sz="12" w:space="0"/>
            </w:tcBorders>
            <w:shd w:val="clear" w:color="auto" w:fill="FFFFFF"/>
            <w:noWrap w:val="0"/>
            <w:vAlign w:val="center"/>
          </w:tcPr>
          <w:p>
            <w:pPr>
              <w:widowControl/>
              <w:wordWrap w:val="0"/>
              <w:snapToGrid w:val="0"/>
              <w:spacing w:line="590" w:lineRule="exact"/>
              <w:jc w:val="center"/>
              <w:rPr>
                <w:rFonts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≥85%</w:t>
            </w:r>
          </w:p>
        </w:tc>
      </w:tr>
    </w:tbl>
    <w:p>
      <w:pPr>
        <w:snapToGrid w:val="0"/>
        <w:spacing w:line="590" w:lineRule="exact"/>
        <w:jc w:val="left"/>
        <w:rPr>
          <w:rFonts w:ascii="宋体" w:hAnsi="宋体" w:eastAsia="宋体"/>
          <w:color w:val="000000"/>
          <w:sz w:val="28"/>
          <w:szCs w:val="28"/>
        </w:rPr>
      </w:pPr>
    </w:p>
    <w:p>
      <w:pPr>
        <w:snapToGrid w:val="0"/>
        <w:spacing w:line="590" w:lineRule="exact"/>
        <w:rPr>
          <w:rFonts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楷体_GB2312" w:hAnsi="楷体_GB2312" w:eastAsia="楷体_GB2312" w:cs="楷体_GB2312"/>
          <w:b/>
          <w:bCs/>
          <w:color w:val="000000"/>
          <w:sz w:val="32"/>
          <w:szCs w:val="32"/>
        </w:rPr>
        <w:t>——全省职业病危害治理能力显著增强。</w:t>
      </w:r>
      <w:r>
        <w:rPr>
          <w:rFonts w:hint="eastAsia" w:ascii="仿宋_GB2312" w:hAnsi="仿宋_GB2312" w:eastAsia="仿宋_GB2312" w:cs="仿宋_GB2312"/>
          <w:color w:val="000000"/>
          <w:sz w:val="32"/>
          <w:szCs w:val="32"/>
        </w:rPr>
        <w:t>制定3-5个全省重点行业职业病危害工程防护技术标准和指南，形成2-3个可复制、可推广的工程防护技术模块或方案，大力强化全省粉尘、毒物、噪声等职业病危害工程防护技术指导等工作。加强职业健康业务培训，基层职业健康监管人员和专业技术人员专业知识和技术水平显著提高。支持和鼓励治理企业开展“健康企业”创建和“职业健康达人”推荐评选，治理企业员工职业健康素养水平显著提高。</w:t>
      </w:r>
    </w:p>
    <w:p>
      <w:pPr>
        <w:snapToGrid w:val="0"/>
        <w:spacing w:line="590" w:lineRule="exact"/>
        <w:rPr>
          <w:rFonts w:ascii="宋体" w:hAnsi="宋体" w:eastAsia="宋体"/>
          <w:color w:val="000000"/>
          <w:sz w:val="28"/>
          <w:szCs w:val="28"/>
        </w:rPr>
      </w:pPr>
      <w:r>
        <w:rPr>
          <w:rFonts w:ascii="宋体" w:hAnsi="宋体" w:eastAsia="宋体"/>
          <w:color w:val="000000"/>
          <w:sz w:val="28"/>
          <w:szCs w:val="28"/>
        </w:rPr>
        <w:t>　</w:t>
      </w:r>
      <w:r>
        <w:rPr>
          <w:rFonts w:hint="eastAsia" w:ascii="黑体" w:hAnsi="黑体" w:eastAsia="黑体" w:cs="黑体"/>
          <w:color w:val="000000"/>
          <w:sz w:val="32"/>
          <w:szCs w:val="32"/>
        </w:rPr>
        <w:t>　二、安排步骤</w:t>
      </w:r>
    </w:p>
    <w:p>
      <w:pPr>
        <w:snapToGrid w:val="0"/>
        <w:spacing w:line="590" w:lineRule="exact"/>
        <w:rPr>
          <w:rFonts w:hint="eastAsia" w:ascii="仿宋_GB2312" w:hAnsi="仿宋_GB2312" w:eastAsia="仿宋_GB2312" w:cs="仿宋_GB2312"/>
          <w:b w:val="0"/>
          <w:bCs w:val="0"/>
          <w:color w:val="000000"/>
          <w:sz w:val="32"/>
          <w:szCs w:val="32"/>
        </w:rPr>
      </w:pPr>
      <w:r>
        <w:rPr>
          <w:rFonts w:ascii="宋体" w:hAnsi="宋体" w:eastAsia="宋体"/>
          <w:color w:val="000000"/>
          <w:sz w:val="28"/>
          <w:szCs w:val="28"/>
        </w:rPr>
        <w:t>　</w:t>
      </w:r>
      <w:r>
        <w:rPr>
          <w:rFonts w:ascii="宋体" w:hAnsi="宋体" w:eastAsia="宋体"/>
          <w:b w:val="0"/>
          <w:bCs w:val="0"/>
          <w:color w:val="000000"/>
          <w:sz w:val="28"/>
          <w:szCs w:val="28"/>
        </w:rPr>
        <w:t>　</w:t>
      </w:r>
      <w:r>
        <w:rPr>
          <w:rFonts w:hint="eastAsia" w:ascii="楷体_GB2312" w:hAnsi="楷体_GB2312" w:eastAsia="楷体_GB2312" w:cs="楷体_GB2312"/>
          <w:b w:val="0"/>
          <w:bCs w:val="0"/>
          <w:color w:val="000000"/>
          <w:sz w:val="32"/>
          <w:szCs w:val="32"/>
        </w:rPr>
        <w:t>（一）建立治理企业基本台账阶段</w:t>
      </w:r>
      <w:r>
        <w:rPr>
          <w:rFonts w:hint="eastAsia" w:ascii="仿宋_GB2312" w:hAnsi="仿宋_GB2312" w:eastAsia="仿宋_GB2312" w:cs="仿宋_GB2312"/>
          <w:b w:val="0"/>
          <w:bCs w:val="0"/>
          <w:color w:val="000000"/>
          <w:sz w:val="32"/>
          <w:szCs w:val="32"/>
        </w:rPr>
        <w:t>（2022年</w:t>
      </w:r>
      <w:r>
        <w:rPr>
          <w:rFonts w:hint="eastAsia" w:ascii="仿宋_GB2312" w:hAnsi="仿宋_GB2312" w:eastAsia="仿宋_GB2312" w:cs="仿宋_GB2312"/>
          <w:b w:val="0"/>
          <w:bCs w:val="0"/>
          <w:color w:val="000000"/>
          <w:sz w:val="32"/>
          <w:szCs w:val="32"/>
          <w:highlight w:val="none"/>
          <w:lang w:val="en"/>
        </w:rPr>
        <w:t>3</w:t>
      </w:r>
      <w:r>
        <w:rPr>
          <w:rFonts w:hint="eastAsia" w:ascii="仿宋_GB2312" w:hAnsi="仿宋_GB2312" w:eastAsia="仿宋_GB2312" w:cs="仿宋_GB2312"/>
          <w:b w:val="0"/>
          <w:bCs w:val="0"/>
          <w:color w:val="000000"/>
          <w:sz w:val="32"/>
          <w:szCs w:val="32"/>
        </w:rPr>
        <w:t>月-8月）</w:t>
      </w:r>
    </w:p>
    <w:p>
      <w:pPr>
        <w:snapToGrid w:val="0"/>
        <w:spacing w:line="590" w:lineRule="exact"/>
        <w:ind w:firstLine="555"/>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1.确定治理企业。</w:t>
      </w:r>
      <w:r>
        <w:rPr>
          <w:rFonts w:hint="eastAsia" w:ascii="仿宋_GB2312" w:hAnsi="仿宋_GB2312" w:eastAsia="仿宋_GB2312" w:cs="仿宋_GB2312"/>
          <w:color w:val="000000"/>
          <w:sz w:val="32"/>
          <w:szCs w:val="32"/>
        </w:rPr>
        <w:t>国家卫生健康委将在职业病危害项目申报系统中设立专项治理模块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各设区市卫健委要根据国家卫生健康委下达的治理企业名单（</w:t>
      </w:r>
      <w:r>
        <w:rPr>
          <w:rFonts w:hint="eastAsia" w:ascii="仿宋_GB2312" w:hAnsi="仿宋_GB2312" w:eastAsia="仿宋_GB2312" w:cs="仿宋_GB2312"/>
          <w:color w:val="000000"/>
          <w:sz w:val="32"/>
          <w:szCs w:val="32"/>
          <w:lang w:eastAsia="zh-CN"/>
        </w:rPr>
        <w:t>另</w:t>
      </w:r>
      <w:r>
        <w:rPr>
          <w:rFonts w:hint="eastAsia" w:ascii="仿宋_GB2312" w:hAnsi="仿宋_GB2312" w:eastAsia="仿宋_GB2312" w:cs="仿宋_GB2312"/>
          <w:color w:val="000000"/>
          <w:sz w:val="32"/>
          <w:szCs w:val="32"/>
        </w:rPr>
        <w:t>行下发），结合本辖区2020年工业企业职业病危害现状调查、职业病危害项目申报、职业病及危害因素监测等数据进行补充完善，采取适当方式摸清治理企业有关情况，建立本辖区治理工作基础台账（附件1）。</w:t>
      </w:r>
    </w:p>
    <w:p>
      <w:pPr>
        <w:snapToGrid w:val="0"/>
        <w:spacing w:line="590" w:lineRule="exact"/>
        <w:ind w:firstLine="55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符合以下情形之一的从业人员10人及以上工业企业，应纳入治理企业清单。</w:t>
      </w:r>
    </w:p>
    <w:p>
      <w:pPr>
        <w:snapToGrid w:val="0"/>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（1）2019年以来未开展职业病危害因素定期检测的工业企业；</w:t>
      </w:r>
    </w:p>
    <w:p>
      <w:pPr>
        <w:snapToGrid w:val="0"/>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（2）存在粉尘、化学毒物或噪声危害因素浓（强）度超标情况的工业企业；</w:t>
      </w:r>
    </w:p>
    <w:p>
      <w:pPr>
        <w:snapToGrid w:val="0"/>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（3）2020年以来有新发疑似职业病（3例及以上）</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确诊职业病病人的工业企业；</w:t>
      </w:r>
    </w:p>
    <w:p>
      <w:pPr>
        <w:snapToGrid w:val="0"/>
        <w:spacing w:line="59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（4）职业病危害风险属于“严重”类别行业的，2019年以来未按职业健康相关法律、法规要求开展职业病危害评价（含职业病危害控制效果评价、现状评价）的工业企业；</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（5）2019年以来受到职业健康执法单位行政处罚的，整改后不达标责任主体名单的工业企业。</w:t>
      </w:r>
    </w:p>
    <w:p>
      <w:pPr>
        <w:snapToGrid w:val="0"/>
        <w:spacing w:line="59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2.提出治理初步意向。</w:t>
      </w:r>
      <w:r>
        <w:rPr>
          <w:rFonts w:hint="eastAsia" w:ascii="仿宋_GB2312" w:hAnsi="仿宋_GB2312" w:eastAsia="仿宋_GB2312" w:cs="仿宋_GB2312"/>
          <w:b w:val="0"/>
          <w:bCs w:val="0"/>
          <w:color w:val="000000"/>
          <w:sz w:val="32"/>
          <w:szCs w:val="32"/>
          <w:lang w:eastAsia="zh-CN"/>
        </w:rPr>
        <w:t>各级</w:t>
      </w:r>
      <w:r>
        <w:rPr>
          <w:rFonts w:hint="eastAsia" w:ascii="仿宋_GB2312" w:hAnsi="仿宋_GB2312" w:eastAsia="仿宋_GB2312" w:cs="仿宋_GB2312"/>
          <w:color w:val="000000"/>
          <w:sz w:val="32"/>
          <w:szCs w:val="32"/>
          <w:lang w:eastAsia="zh-CN"/>
        </w:rPr>
        <w:t>卫生健康行政部门要</w:t>
      </w:r>
      <w:r>
        <w:rPr>
          <w:rFonts w:hint="eastAsia" w:ascii="仿宋_GB2312" w:hAnsi="仿宋_GB2312" w:eastAsia="仿宋_GB2312" w:cs="仿宋_GB2312"/>
          <w:color w:val="000000"/>
          <w:sz w:val="32"/>
          <w:szCs w:val="32"/>
        </w:rPr>
        <w:t>对辖区内治理企业</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核实，</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组织指导治理企业提出下一阶段治理的初步整改措施、整改时限和资金投入（</w:t>
      </w:r>
      <w:r>
        <w:rPr>
          <w:rFonts w:hint="eastAsia" w:ascii="仿宋_GB2312" w:hAnsi="仿宋_GB2312" w:eastAsia="仿宋_GB2312" w:cs="仿宋_GB2312"/>
          <w:color w:val="000000"/>
          <w:sz w:val="32"/>
          <w:szCs w:val="32"/>
          <w:lang w:eastAsia="zh-CN"/>
        </w:rPr>
        <w:t>按</w:t>
      </w:r>
      <w:r>
        <w:rPr>
          <w:rFonts w:hint="eastAsia" w:ascii="仿宋_GB2312" w:hAnsi="仿宋_GB2312" w:eastAsia="仿宋_GB2312" w:cs="仿宋_GB2312"/>
          <w:color w:val="000000"/>
          <w:sz w:val="32"/>
          <w:szCs w:val="32"/>
        </w:rPr>
        <w:t>附件1填报）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部分行业职业病危害治理主要工程技术措施参照附件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p>
    <w:p>
      <w:pPr>
        <w:snapToGrid w:val="0"/>
        <w:spacing w:line="590" w:lineRule="exact"/>
        <w:ind w:firstLine="555"/>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时间进度安排：</w:t>
      </w:r>
      <w:r>
        <w:rPr>
          <w:rFonts w:hint="eastAsia" w:ascii="仿宋_GB2312" w:hAnsi="仿宋_GB2312" w:eastAsia="仿宋_GB2312" w:cs="仿宋_GB2312"/>
          <w:color w:val="000000"/>
          <w:sz w:val="32"/>
          <w:szCs w:val="32"/>
        </w:rPr>
        <w:t>2022年3月-6月完成对辖区内治理企业名单的核实确定，7月由各设区市卫健委上报省卫健委。</w:t>
      </w:r>
    </w:p>
    <w:p>
      <w:pPr>
        <w:snapToGrid w:val="0"/>
        <w:spacing w:line="590" w:lineRule="exact"/>
        <w:ind w:firstLine="555"/>
        <w:rPr>
          <w:rFonts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（二）治理整改阶段（2022年9月-2025年6月）</w:t>
      </w:r>
    </w:p>
    <w:p>
      <w:pPr>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eastAsia="zh-CN"/>
        </w:rPr>
        <w:t>各级</w:t>
      </w:r>
      <w:r>
        <w:rPr>
          <w:rFonts w:hint="eastAsia" w:ascii="仿宋_GB2312" w:hAnsi="仿宋_GB2312" w:eastAsia="仿宋_GB2312" w:cs="仿宋_GB2312"/>
          <w:color w:val="000000"/>
          <w:sz w:val="32"/>
          <w:szCs w:val="32"/>
          <w:lang w:eastAsia="zh-CN"/>
        </w:rPr>
        <w:t>卫生健康行政部门要</w:t>
      </w:r>
      <w:r>
        <w:rPr>
          <w:rFonts w:hint="eastAsia" w:ascii="仿宋_GB2312" w:hAnsi="仿宋_GB2312" w:eastAsia="仿宋_GB2312" w:cs="仿宋_GB2312"/>
          <w:color w:val="000000"/>
          <w:sz w:val="32"/>
          <w:szCs w:val="32"/>
        </w:rPr>
        <w:t>结合本地区实际和治理企业情况，制定专项治理工作方案，确定年度治理任务及目标，明确具体的治理方法、措施和时间要求。</w:t>
      </w:r>
    </w:p>
    <w:p>
      <w:pPr>
        <w:snapToGrid w:val="0"/>
        <w:spacing w:line="59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1.开展治理整改</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）纳入范围的治理企业应针对职业病危害因素浓（强）度超标岗位制订切实可行的整改方案并实施，整改方案应包括超标岗位名称、超标原因、整改措施、整改时限和资金投入</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优先采用</w:t>
      </w:r>
      <w:r>
        <w:rPr>
          <w:rFonts w:hint="eastAsia" w:ascii="仿宋_GB2312" w:hAnsi="仿宋_GB2312" w:eastAsia="仿宋_GB2312" w:cs="仿宋_GB2312"/>
          <w:color w:val="000000"/>
          <w:sz w:val="32"/>
          <w:szCs w:val="32"/>
          <w:lang w:eastAsia="zh-CN"/>
        </w:rPr>
        <w:t>国家推荐的</w:t>
      </w:r>
      <w:r>
        <w:rPr>
          <w:rFonts w:hint="eastAsia" w:ascii="仿宋_GB2312" w:hAnsi="仿宋_GB2312" w:eastAsia="仿宋_GB2312" w:cs="仿宋_GB2312"/>
          <w:color w:val="000000"/>
          <w:sz w:val="32"/>
          <w:szCs w:val="32"/>
        </w:rPr>
        <w:t>工程技术</w:t>
      </w:r>
      <w:r>
        <w:rPr>
          <w:rFonts w:hint="eastAsia" w:ascii="仿宋_GB2312" w:hAnsi="仿宋_GB2312" w:eastAsia="仿宋_GB2312" w:cs="仿宋_GB2312"/>
          <w:color w:val="000000"/>
          <w:sz w:val="32"/>
          <w:szCs w:val="32"/>
          <w:lang w:eastAsia="zh-CN"/>
        </w:rPr>
        <w:t>改造</w:t>
      </w:r>
      <w:r>
        <w:rPr>
          <w:rFonts w:hint="eastAsia" w:ascii="仿宋_GB2312" w:hAnsi="仿宋_GB2312" w:eastAsia="仿宋_GB2312" w:cs="仿宋_GB2312"/>
          <w:color w:val="000000"/>
          <w:sz w:val="32"/>
          <w:szCs w:val="32"/>
        </w:rPr>
        <w:t>措施（部分行业参照附件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一企一策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。治理企业应根据整改方案开展治理工作，，从源头减少和降低职业病危害，使作业岗位职业病危害因素浓（强）度达到职业卫生标准限值要求。</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对于采取工程技术措施不能使作业岗位职业病危害因素浓（强）度达到职业卫生标准限值要求的，治理企业必须采取个体防护、减少作业时间等管理措施，降低劳动者接触水平，并切实做好职业病危害因素监测、职业健康检查等工作。针对管理措施是否满足防护要求，治理企业应组织开展评价工作，形成评价报告。</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完成专项治理的治理企业应委托有资质的技术服务机构对工作场所职业病危害因素进行检测，由技术服务机构出具相应检测报告。治理企业应在职业病危害项目申报系统专项治理模块中提交评价报告、检测报告等相关材料。</w:t>
      </w:r>
    </w:p>
    <w:p>
      <w:pPr>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（4）时间进度安排：各设区市</w:t>
      </w:r>
      <w:r>
        <w:rPr>
          <w:rFonts w:hint="eastAsia" w:ascii="仿宋_GB2312" w:hAnsi="仿宋_GB2312" w:eastAsia="仿宋_GB2312" w:cs="仿宋_GB2312"/>
          <w:color w:val="000000"/>
          <w:sz w:val="32"/>
          <w:szCs w:val="32"/>
          <w:lang w:eastAsia="zh-CN"/>
        </w:rPr>
        <w:t>卫健委、</w:t>
      </w:r>
      <w:r>
        <w:rPr>
          <w:rFonts w:hint="eastAsia" w:ascii="仿宋_GB2312" w:hAnsi="仿宋_GB2312" w:eastAsia="仿宋_GB2312" w:cs="仿宋_GB2312"/>
          <w:color w:val="000000"/>
          <w:sz w:val="32"/>
          <w:szCs w:val="32"/>
        </w:rPr>
        <w:t>平潭综合</w:t>
      </w:r>
      <w:r>
        <w:rPr>
          <w:rFonts w:hint="eastAsia" w:ascii="仿宋_GB2312" w:hAnsi="仿宋_GB2312" w:eastAsia="仿宋_GB2312" w:cs="仿宋_GB2312"/>
          <w:color w:val="000000"/>
          <w:sz w:val="32"/>
          <w:szCs w:val="32"/>
          <w:lang w:eastAsia="zh-CN"/>
        </w:rPr>
        <w:t>实</w:t>
      </w:r>
      <w:r>
        <w:rPr>
          <w:rFonts w:hint="eastAsia" w:ascii="仿宋_GB2312" w:hAnsi="仿宋_GB2312" w:eastAsia="仿宋_GB2312" w:cs="仿宋_GB2312"/>
          <w:color w:val="000000"/>
          <w:sz w:val="32"/>
          <w:szCs w:val="32"/>
        </w:rPr>
        <w:t>验区</w:t>
      </w:r>
      <w:r>
        <w:rPr>
          <w:rFonts w:hint="eastAsia" w:ascii="仿宋_GB2312" w:hAnsi="仿宋_GB2312" w:eastAsia="仿宋_GB2312" w:cs="仿宋_GB2312"/>
          <w:color w:val="000000"/>
          <w:sz w:val="32"/>
          <w:szCs w:val="32"/>
          <w:lang w:eastAsia="zh-CN"/>
        </w:rPr>
        <w:t>社会事业局要</w:t>
      </w:r>
      <w:r>
        <w:rPr>
          <w:rFonts w:hint="eastAsia" w:ascii="仿宋_GB2312" w:hAnsi="仿宋_GB2312" w:eastAsia="仿宋_GB2312" w:cs="仿宋_GB2312"/>
          <w:color w:val="000000"/>
          <w:sz w:val="32"/>
          <w:szCs w:val="32"/>
        </w:rPr>
        <w:t>首先应对辖区内粉尘、化学毒物或噪声危害因素浓（强）度超标严重的矿山、冶金、化工、建材、汽车制造、蓄电池生产、水泥生产等行业企业以及</w:t>
      </w:r>
      <w:r>
        <w:rPr>
          <w:rFonts w:ascii="仿宋_GB2312" w:hAnsi="仿宋_GB2312" w:eastAsia="仿宋_GB2312" w:cs="仿宋_GB2312"/>
          <w:color w:val="000000"/>
          <w:sz w:val="32"/>
          <w:szCs w:val="32"/>
        </w:rPr>
        <w:t>2020年以来有新发疑似职业病（3例及以上）、确诊职业病病人的工业企业</w:t>
      </w:r>
      <w:r>
        <w:rPr>
          <w:rFonts w:hint="eastAsia" w:ascii="仿宋_GB2312" w:hAnsi="仿宋_GB2312" w:eastAsia="仿宋_GB2312" w:cs="仿宋_GB2312"/>
          <w:color w:val="000000"/>
          <w:sz w:val="32"/>
          <w:szCs w:val="32"/>
        </w:rPr>
        <w:t>进行</w:t>
      </w:r>
      <w:r>
        <w:rPr>
          <w:rFonts w:ascii="仿宋_GB2312" w:hAnsi="仿宋_GB2312" w:eastAsia="仿宋_GB2312" w:cs="仿宋_GB2312"/>
          <w:color w:val="000000"/>
          <w:sz w:val="32"/>
          <w:szCs w:val="32"/>
        </w:rPr>
        <w:t>治理</w:t>
      </w:r>
      <w:r>
        <w:rPr>
          <w:rFonts w:hint="eastAsia" w:ascii="仿宋_GB2312" w:hAnsi="仿宋_GB2312" w:eastAsia="仿宋_GB2312" w:cs="仿宋_GB2312"/>
          <w:color w:val="000000"/>
          <w:sz w:val="32"/>
          <w:szCs w:val="32"/>
        </w:rPr>
        <w:t>。到2</w:t>
      </w:r>
      <w:r>
        <w:rPr>
          <w:rFonts w:ascii="仿宋_GB2312" w:hAnsi="仿宋_GB2312" w:eastAsia="仿宋_GB2312" w:cs="仿宋_GB2312"/>
          <w:color w:val="000000"/>
          <w:sz w:val="32"/>
          <w:szCs w:val="32"/>
        </w:rPr>
        <w:t>022</w:t>
      </w:r>
      <w:r>
        <w:rPr>
          <w:rFonts w:hint="eastAsia" w:ascii="仿宋_GB2312" w:hAnsi="仿宋_GB2312" w:eastAsia="仿宋_GB2312" w:cs="仿宋_GB2312"/>
          <w:color w:val="000000"/>
          <w:sz w:val="32"/>
          <w:szCs w:val="32"/>
        </w:rPr>
        <w:t>年底各设区市应至少完成纳入治理企业总数的</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2023年底应至少完成纳入治理企业</w:t>
      </w:r>
      <w:r>
        <w:rPr>
          <w:rFonts w:hint="eastAsia" w:ascii="仿宋_GB2312" w:hAnsi="仿宋_GB2312" w:eastAsia="仿宋_GB2312" w:cs="仿宋_GB2312"/>
          <w:color w:val="000000"/>
          <w:sz w:val="32"/>
          <w:szCs w:val="32"/>
        </w:rPr>
        <w:t>总</w:t>
      </w:r>
      <w:r>
        <w:rPr>
          <w:rFonts w:ascii="仿宋_GB2312" w:hAnsi="仿宋_GB2312" w:eastAsia="仿宋_GB2312" w:cs="仿宋_GB2312"/>
          <w:color w:val="000000"/>
          <w:sz w:val="32"/>
          <w:szCs w:val="32"/>
        </w:rPr>
        <w:t>数的60%，</w:t>
      </w: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024</w:t>
      </w:r>
      <w:r>
        <w:rPr>
          <w:rFonts w:hint="eastAsia" w:ascii="仿宋_GB2312" w:hAnsi="仿宋_GB2312" w:eastAsia="仿宋_GB2312" w:cs="仿宋_GB2312"/>
          <w:color w:val="000000"/>
          <w:sz w:val="32"/>
          <w:szCs w:val="32"/>
        </w:rPr>
        <w:t>年底应至少完成纳入治理企业总数的</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2025</w:t>
      </w:r>
      <w:r>
        <w:rPr>
          <w:rFonts w:hint="eastAsia" w:ascii="仿宋_GB2312" w:hAnsi="仿宋_GB2312" w:eastAsia="仿宋_GB2312" w:cs="仿宋_GB2312"/>
          <w:color w:val="000000"/>
          <w:sz w:val="32"/>
          <w:szCs w:val="32"/>
        </w:rPr>
        <w:t>年全部完成存在粉尘、化学毒物或噪声危害因素浓（强）度超标情况的工业企业治理。</w:t>
      </w:r>
    </w:p>
    <w:p>
      <w:pPr>
        <w:snapToGrid w:val="0"/>
        <w:spacing w:line="590" w:lineRule="exact"/>
        <w:ind w:firstLine="56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2.开展督促指导</w:t>
      </w:r>
    </w:p>
    <w:p>
      <w:pPr>
        <w:snapToGrid w:val="0"/>
        <w:spacing w:line="590" w:lineRule="exact"/>
        <w:ind w:firstLine="56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按照属地管理原则，各</w:t>
      </w:r>
      <w:r>
        <w:rPr>
          <w:rFonts w:hint="eastAsia" w:ascii="仿宋_GB2312" w:hAnsi="仿宋_GB2312" w:eastAsia="仿宋_GB2312" w:cs="仿宋_GB2312"/>
          <w:color w:val="000000"/>
          <w:sz w:val="32"/>
          <w:szCs w:val="32"/>
          <w:lang w:eastAsia="zh-CN"/>
        </w:rPr>
        <w:t>级</w:t>
      </w:r>
      <w:r>
        <w:rPr>
          <w:rFonts w:hint="eastAsia" w:ascii="仿宋_GB2312" w:hAnsi="仿宋_GB2312" w:eastAsia="仿宋_GB2312" w:cs="仿宋_GB2312"/>
          <w:color w:val="000000"/>
          <w:sz w:val="32"/>
          <w:szCs w:val="32"/>
        </w:rPr>
        <w:t>卫生健康行政部门要全面落实对治理企业的督促指导，督促治理企业落实整改，积极探索职业健康托管式服务、“一企一策”精准指导等帮扶模式，积极向政府争取扶持资金实施中小微企业专项治理帮扶。对治理积极、成效显著的治理企业，鼓励其持续改进提高；对治理不到位的治理企业，督促其加大治理力度；对于治理后职业病危害因素仍超标且整改无望的治理企业，要依法责令其停止相关作业或提请当地政府予以关闭。</w:t>
      </w:r>
    </w:p>
    <w:p>
      <w:pPr>
        <w:snapToGrid w:val="0"/>
        <w:spacing w:line="59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各级卫生健康行政部门要定期调度本地区专项治理工作进展情况，组织各级职业病防治技术支撑机构等专业力量，督促指导治理企业开展专项治理工作。省卫生健康委将适时组织对专项治理工作开展调研指导，省卫生健康监督部门将不定期对各地专项治理工作进度进行抽查，省职控中心要充分发挥省职业病防治工程监测中心作用，参与全省重点行业职业病危害工程防护技术标准和指南的研究，加强对全省专项治理工作的技术支撑和指导，福州大学等要充分发挥省职业病危害工程防护技术中心作用，负责全省专项治理工作工程防护技术咨询，解决治理工作技术</w:t>
      </w:r>
      <w:r>
        <w:rPr>
          <w:rFonts w:hint="eastAsia" w:ascii="仿宋_GB2312" w:hAnsi="仿宋_GB2312" w:eastAsia="仿宋_GB2312" w:cs="仿宋_GB2312"/>
          <w:color w:val="000000"/>
          <w:sz w:val="32"/>
          <w:szCs w:val="32"/>
          <w:lang w:eastAsia="zh-CN"/>
        </w:rPr>
        <w:t>难</w:t>
      </w:r>
      <w:r>
        <w:rPr>
          <w:rFonts w:hint="eastAsia" w:ascii="仿宋_GB2312" w:hAnsi="仿宋_GB2312" w:eastAsia="仿宋_GB2312" w:cs="仿宋_GB2312"/>
          <w:color w:val="000000"/>
          <w:sz w:val="32"/>
          <w:szCs w:val="32"/>
        </w:rPr>
        <w:t>题。</w:t>
      </w:r>
    </w:p>
    <w:p>
      <w:pPr>
        <w:snapToGrid w:val="0"/>
        <w:spacing w:line="590" w:lineRule="exact"/>
        <w:ind w:firstLine="56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3.做好年度总结</w:t>
      </w:r>
    </w:p>
    <w:p>
      <w:pPr>
        <w:snapToGrid w:val="0"/>
        <w:spacing w:line="590" w:lineRule="exact"/>
        <w:ind w:firstLine="56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各设区市及平潭综合试验区卫生健康行政部门要及时认真总结本地区年度治理工作，每年</w:t>
      </w:r>
      <w:r>
        <w:rPr>
          <w:rFonts w:hint="eastAsia" w:ascii="仿宋_GB2312" w:hAnsi="仿宋_GB2312" w:eastAsia="仿宋_GB2312" w:cs="仿宋_GB2312"/>
          <w:b/>
          <w:bCs/>
          <w:color w:val="000000"/>
          <w:sz w:val="32"/>
          <w:szCs w:val="32"/>
        </w:rPr>
        <w:t>11月1</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日</w:t>
      </w:r>
      <w:r>
        <w:rPr>
          <w:rFonts w:hint="eastAsia" w:ascii="仿宋_GB2312" w:hAnsi="仿宋_GB2312" w:eastAsia="仿宋_GB2312" w:cs="仿宋_GB2312"/>
          <w:color w:val="000000"/>
          <w:sz w:val="32"/>
          <w:szCs w:val="32"/>
        </w:rPr>
        <w:t>前将本年度治理企业基本情况、工作总结以及下年度专项治理方案报送省卫生健康委职业健康处。年度总结报告应重点突出、数据详实，主要包括年度工作进展情况、取得的成效、存在的问题以及下年度工作打算等。省卫生健康委对每年全省专项治理工作进行汇总分析、总结和通报。</w:t>
      </w:r>
    </w:p>
    <w:p>
      <w:pPr>
        <w:snapToGrid w:val="0"/>
        <w:spacing w:line="590" w:lineRule="exact"/>
        <w:rPr>
          <w:rFonts w:ascii="楷体_GB2312" w:hAnsi="楷体_GB2312" w:eastAsia="楷体_GB2312" w:cs="楷体_GB2312"/>
          <w:b w:val="0"/>
          <w:bCs w:val="0"/>
          <w:color w:val="000000"/>
          <w:sz w:val="32"/>
          <w:szCs w:val="32"/>
        </w:rPr>
      </w:pPr>
      <w:r>
        <w:rPr>
          <w:rFonts w:ascii="宋体" w:hAnsi="宋体" w:eastAsia="宋体"/>
          <w:color w:val="000000"/>
          <w:sz w:val="28"/>
          <w:szCs w:val="28"/>
        </w:rPr>
        <w:t>　　</w:t>
      </w:r>
      <w:r>
        <w:rPr>
          <w:rFonts w:hint="eastAsia" w:ascii="楷体_GB2312" w:hAnsi="楷体_GB2312" w:eastAsia="楷体_GB2312" w:cs="楷体_GB2312"/>
          <w:b w:val="0"/>
          <w:bCs w:val="0"/>
          <w:color w:val="000000"/>
          <w:sz w:val="32"/>
          <w:szCs w:val="32"/>
        </w:rPr>
        <w:t>（三）全面总结阶段（2025年7月-12月）</w:t>
      </w:r>
    </w:p>
    <w:p>
      <w:pPr>
        <w:snapToGrid w:val="0"/>
        <w:spacing w:line="590" w:lineRule="exact"/>
        <w:rPr>
          <w:rFonts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级</w:t>
      </w:r>
      <w:r>
        <w:rPr>
          <w:rFonts w:hint="eastAsia" w:ascii="仿宋_GB2312" w:hAnsi="仿宋_GB2312" w:eastAsia="仿宋_GB2312" w:cs="仿宋_GB2312"/>
          <w:color w:val="000000"/>
          <w:sz w:val="32"/>
          <w:szCs w:val="32"/>
        </w:rPr>
        <w:t>卫生健康行政部门要做好全面总结工作，客观评价和总结专项治理工作成效。请于2025年11月15日前</w:t>
      </w:r>
      <w:r>
        <w:rPr>
          <w:rFonts w:hint="eastAsia" w:ascii="仿宋_GB2312" w:hAnsi="仿宋_GB2312" w:eastAsia="仿宋_GB2312" w:cs="仿宋_GB2312"/>
          <w:color w:val="000000"/>
          <w:sz w:val="32"/>
          <w:szCs w:val="32"/>
          <w:lang w:eastAsia="zh-CN"/>
        </w:rPr>
        <w:t>逐级</w:t>
      </w:r>
      <w:r>
        <w:rPr>
          <w:rFonts w:hint="eastAsia" w:ascii="仿宋_GB2312" w:hAnsi="仿宋_GB2312" w:eastAsia="仿宋_GB2312" w:cs="仿宋_GB2312"/>
          <w:color w:val="000000"/>
          <w:sz w:val="32"/>
          <w:szCs w:val="32"/>
        </w:rPr>
        <w:t>将专项治理工作总结报告书面报送省卫生健康委。总结报告应包括治理工作开展情况、典型经验做法、取得成效、存在问题与建议等。省卫生健康委将组织对全省专项治理工作进行总体评估和全面总结。</w:t>
      </w:r>
    </w:p>
    <w:p>
      <w:pPr>
        <w:snapToGrid w:val="0"/>
        <w:spacing w:line="590" w:lineRule="exact"/>
        <w:rPr>
          <w:rFonts w:ascii="黑体" w:hAnsi="黑体" w:eastAsia="黑体" w:cs="黑体"/>
          <w:color w:val="000000"/>
          <w:sz w:val="32"/>
          <w:szCs w:val="32"/>
        </w:rPr>
      </w:pPr>
      <w:r>
        <w:rPr>
          <w:rFonts w:ascii="宋体" w:hAnsi="宋体" w:eastAsia="宋体"/>
          <w:color w:val="000000"/>
          <w:sz w:val="28"/>
          <w:szCs w:val="28"/>
        </w:rPr>
        <w:t>　　</w:t>
      </w:r>
      <w:r>
        <w:rPr>
          <w:rFonts w:hint="eastAsia" w:ascii="黑体" w:hAnsi="黑体" w:eastAsia="黑体" w:cs="黑体"/>
          <w:color w:val="000000"/>
          <w:sz w:val="32"/>
          <w:szCs w:val="32"/>
        </w:rPr>
        <w:t>三、工作要求</w:t>
      </w:r>
    </w:p>
    <w:p>
      <w:pPr>
        <w:snapToGrid w:val="0"/>
        <w:spacing w:line="590" w:lineRule="exact"/>
        <w:ind w:firstLine="570"/>
        <w:rPr>
          <w:rFonts w:hint="eastAsia"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rPr>
        <w:t>（一）强化组织领导。</w:t>
      </w:r>
      <w:r>
        <w:rPr>
          <w:rFonts w:hint="eastAsia" w:ascii="仿宋_GB2312" w:hAnsi="仿宋_GB2312" w:eastAsia="仿宋_GB2312" w:cs="仿宋_GB2312"/>
          <w:color w:val="000000"/>
          <w:sz w:val="32"/>
          <w:szCs w:val="32"/>
        </w:rPr>
        <w:t>各级卫生健康行政部门要高度重视职业病危害专项治理工作，确实加强组织领导，主要负责人加强统筹、分管负责人亲自抓，指定专人负责，精心组织，周密部署，因地制宜，科学制定治理方案，细化治理工作任务，认真组织实施，确保专项治理取得实效。要组织辖区相关监管执法人员、技术人员以及治理企业负责人和管理人员认真学习贯彻职业病防治法律法规和政策标准，学懂、弄通专项治理的内容和要求，掌握危害治理及监督检查要点，紧扣治理重点深入开展职业卫生监督执法工作。</w:t>
      </w:r>
    </w:p>
    <w:p>
      <w:pPr>
        <w:snapToGrid w:val="0"/>
        <w:spacing w:line="590" w:lineRule="exact"/>
        <w:ind w:firstLine="570"/>
        <w:rPr>
          <w:rFonts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rPr>
        <w:t>（二）强化源头治理。</w:t>
      </w:r>
      <w:r>
        <w:rPr>
          <w:rFonts w:hint="eastAsia" w:ascii="仿宋_GB2312" w:hAnsi="仿宋_GB2312" w:eastAsia="仿宋_GB2312" w:cs="仿宋_GB2312"/>
          <w:color w:val="000000"/>
          <w:sz w:val="32"/>
          <w:szCs w:val="32"/>
        </w:rPr>
        <w:t>各级卫生健康行政部门要加强对企业落实建设项目职业病防护设施“三同时”制度的监管，狠抓源头治理。要督促治理企业以工作场所职业病危害因素浓（强）度超标的作业岗位为重点，以落实工程防护措施为关键，紧紧围绕重点环节、重点岗位、重点人员，加大对现有设备设施升级改造力度，积极使用新技术、新工艺、新材料，提高设备机械化、自动化、智能化水平，淘汰落后技术、工艺、设备和材料。对于无法采取工程技术措施，或工程技术措施无法使职业病危害因素浓（强）度达到职业卫生标准要求的治理企业，要督促其加强个体防护、职业卫生管理等措施，保护劳动者健康及其相关权益。</w:t>
      </w:r>
    </w:p>
    <w:p>
      <w:pPr>
        <w:snapToGrid w:val="0"/>
        <w:spacing w:line="590" w:lineRule="exact"/>
        <w:rPr>
          <w:rFonts w:ascii="仿宋_GB2312" w:hAnsi="仿宋_GB2312" w:eastAsia="仿宋_GB2312" w:cs="仿宋_GB2312"/>
          <w:color w:val="000000"/>
          <w:sz w:val="32"/>
          <w:szCs w:val="32"/>
        </w:rPr>
      </w:pPr>
      <w:r>
        <w:rPr>
          <w:rFonts w:ascii="宋体" w:hAnsi="宋体" w:eastAsia="宋体"/>
          <w:color w:val="000000"/>
          <w:sz w:val="28"/>
          <w:szCs w:val="28"/>
        </w:rPr>
        <w:t>　</w:t>
      </w:r>
      <w:r>
        <w:rPr>
          <w:rFonts w:hint="eastAsia" w:ascii="楷体_GB2312" w:hAnsi="楷体_GB2312" w:eastAsia="楷体_GB2312" w:cs="楷体_GB2312"/>
          <w:color w:val="000000"/>
          <w:sz w:val="32"/>
          <w:szCs w:val="32"/>
        </w:rPr>
        <w:t>　</w:t>
      </w:r>
      <w:r>
        <w:rPr>
          <w:rFonts w:hint="eastAsia" w:ascii="楷体_GB2312" w:hAnsi="楷体_GB2312" w:eastAsia="楷体_GB2312" w:cs="楷体_GB2312"/>
          <w:b w:val="0"/>
          <w:bCs w:val="0"/>
          <w:color w:val="000000"/>
          <w:sz w:val="32"/>
          <w:szCs w:val="32"/>
        </w:rPr>
        <w:t>（三）实施分类指导。</w:t>
      </w:r>
      <w:r>
        <w:rPr>
          <w:rFonts w:hint="eastAsia" w:ascii="仿宋_GB2312" w:hAnsi="仿宋_GB2312" w:eastAsia="仿宋_GB2312" w:cs="仿宋_GB2312"/>
          <w:color w:val="000000"/>
          <w:sz w:val="32"/>
          <w:szCs w:val="32"/>
        </w:rPr>
        <w:t>各级卫生健康行政部门要根据治理企业职业病危害程度及防治水平进行分类指导。对于超标严重、防治水平低的治理企业进行重点监督、重点帮扶指导；对于专项治理效果好、防治水平高的治理企业，鼓励其创建“健康企业”。要统筹安排专项治理检查工作与工作场所职业病危害因素监测工作，避免重复交叉，提高监管效率。要充分发挥信息化支撑作用，做好治理企业台账动态管理与更新。要注重加强卫生工程技术人才队伍培养，有条件的地市可组织开展卫生工程专业技术培训，提高基层职业健康监管执法人员和技术人员的专业化水平。</w:t>
      </w:r>
    </w:p>
    <w:p>
      <w:pPr>
        <w:snapToGrid w:val="0"/>
        <w:spacing w:line="590" w:lineRule="exact"/>
        <w:rPr>
          <w:rFonts w:ascii="宋体" w:hAnsi="宋体" w:eastAsia="宋体"/>
          <w:color w:val="000000"/>
          <w:sz w:val="28"/>
          <w:szCs w:val="28"/>
        </w:rPr>
      </w:pPr>
      <w:r>
        <w:rPr>
          <w:rFonts w:ascii="宋体" w:hAnsi="宋体" w:eastAsia="宋体"/>
          <w:color w:val="000000"/>
          <w:sz w:val="28"/>
          <w:szCs w:val="28"/>
        </w:rPr>
        <w:t>　</w:t>
      </w:r>
      <w:r>
        <w:rPr>
          <w:rFonts w:hint="eastAsia" w:ascii="楷体_GB2312" w:hAnsi="楷体_GB2312" w:eastAsia="楷体_GB2312" w:cs="楷体_GB2312"/>
          <w:b/>
          <w:bCs/>
          <w:color w:val="000000"/>
          <w:sz w:val="32"/>
          <w:szCs w:val="32"/>
        </w:rPr>
        <w:t>　</w:t>
      </w:r>
      <w:r>
        <w:rPr>
          <w:rFonts w:hint="eastAsia" w:ascii="楷体_GB2312" w:hAnsi="楷体_GB2312" w:eastAsia="楷体_GB2312" w:cs="楷体_GB2312"/>
          <w:b w:val="0"/>
          <w:bCs w:val="0"/>
          <w:color w:val="000000"/>
          <w:sz w:val="32"/>
          <w:szCs w:val="32"/>
        </w:rPr>
        <w:t>（四）强化监督执法。</w:t>
      </w:r>
      <w:r>
        <w:rPr>
          <w:rFonts w:hint="eastAsia" w:ascii="仿宋_GB2312" w:hAnsi="仿宋_GB2312" w:eastAsia="仿宋_GB2312" w:cs="仿宋_GB2312"/>
          <w:color w:val="000000"/>
          <w:sz w:val="32"/>
          <w:szCs w:val="32"/>
        </w:rPr>
        <w:t>各地要采取随机抽查、专项检查等方式，加强对治理工作的督促和指导。对发现的普遍性问题要及时总结通报，提出要求；对存在工作场所职业病危害因素浓（强）度超标、不开展职业病危害项目申报和职业病危害因素定期检测、不组织从事接触职业病危害作业的劳动者进行职业健康检查、不为劳动者配备符合国家标准要求的个体防护用品等违法行为且拒不整改的，要坚决依法从严处罚，并纳入职业病预防控制措施不达标责任主体名单管理。对在企业实施监督检查过程中发现的职业健康相关技术服务违法违规线索，各地要及时跟进、倒查相关技术服务机构，依法调查、处理违法违规行为，不断严格规范和提升技术服务水平。</w:t>
      </w:r>
    </w:p>
    <w:p>
      <w:pPr>
        <w:snapToGrid w:val="0"/>
        <w:spacing w:line="590" w:lineRule="exact"/>
        <w:ind w:firstLine="555"/>
        <w:rPr>
          <w:rFonts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rPr>
        <w:t>（五）加强宣传教育。</w:t>
      </w:r>
      <w:r>
        <w:rPr>
          <w:rFonts w:hint="eastAsia" w:ascii="仿宋_GB2312" w:hAnsi="仿宋_GB2312" w:eastAsia="仿宋_GB2312" w:cs="仿宋_GB2312"/>
          <w:color w:val="000000"/>
          <w:sz w:val="32"/>
          <w:szCs w:val="32"/>
        </w:rPr>
        <w:t>各地要充分利用各种媒体平台，采取多种方式，加强对专项治理工作的宣传报道，营造良好的治理工作氛围。要加强与同级工会、人力资源社会保障、财政等部门的沟通协作，争取经费用于职业病预防宣传培训等工作。要及时发现和宣传基层典型经验和先进做法，充分发挥示范引领作用，以点带面，促进专项治理工作落深落实落细。对问题严重拒不整改的工业企业，要强化监督执法，公开曝光，发挥典型案件“查处一起、震慑一片、教育一方”的警示作用，形成全社会关心支持职业病危害专项治理工作良好局面，促进职业健康保护行动的开展。</w:t>
      </w:r>
    </w:p>
    <w:p>
      <w:pPr>
        <w:snapToGrid w:val="0"/>
        <w:spacing w:line="590" w:lineRule="exact"/>
        <w:ind w:firstLine="55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联系人：柯宗枝  电话：13609557857</w:t>
      </w:r>
    </w:p>
    <w:p>
      <w:pPr>
        <w:snapToGrid w:val="0"/>
        <w:spacing w:line="590" w:lineRule="exact"/>
        <w:ind w:firstLine="55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鄢培智，电话：0591-87278395；</w:t>
      </w:r>
    </w:p>
    <w:p>
      <w:pPr>
        <w:snapToGrid w:val="0"/>
        <w:spacing w:line="590" w:lineRule="exact"/>
        <w:ind w:firstLine="55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电子邮箱：</w:t>
      </w:r>
      <w:r>
        <w:rPr>
          <w:rStyle w:val="11"/>
          <w:rFonts w:hint="eastAsia" w:ascii="仿宋_GB2312" w:hAnsi="仿宋_GB2312" w:eastAsia="仿宋_GB2312" w:cs="仿宋_GB2312"/>
          <w:color w:val="000000"/>
          <w:sz w:val="32"/>
          <w:szCs w:val="32"/>
          <w:u w:val="none"/>
        </w:rPr>
        <w:t>fjajjzac@163.com。</w:t>
      </w:r>
    </w:p>
    <w:p>
      <w:pPr>
        <w:pStyle w:val="2"/>
        <w:rPr>
          <w:color w:val="000000"/>
        </w:rPr>
      </w:pPr>
    </w:p>
    <w:p>
      <w:pPr>
        <w:ind w:firstLine="555"/>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职业病危害治理企业基本情况登记表（治理前）</w:t>
      </w:r>
    </w:p>
    <w:p>
      <w:pPr>
        <w:ind w:firstLine="1520" w:firstLineChars="47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部分行业职业病危害治理主要工程技术措施</w:t>
      </w:r>
    </w:p>
    <w:p>
      <w:pPr>
        <w:ind w:firstLine="555"/>
        <w:rPr>
          <w:rFonts w:hint="eastAsia" w:ascii="仿宋_GB2312" w:hAnsi="仿宋_GB2312" w:eastAsia="仿宋_GB2312" w:cs="仿宋_GB2312"/>
          <w:color w:val="000000"/>
          <w:sz w:val="32"/>
          <w:szCs w:val="32"/>
        </w:rPr>
      </w:pPr>
    </w:p>
    <w:p>
      <w:pPr>
        <w:ind w:firstLine="555"/>
        <w:rPr>
          <w:rFonts w:hint="eastAsia" w:ascii="仿宋_GB2312" w:hAnsi="仿宋_GB2312" w:eastAsia="仿宋_GB2312" w:cs="仿宋_GB2312"/>
          <w:color w:val="000000"/>
          <w:sz w:val="32"/>
          <w:szCs w:val="32"/>
        </w:rPr>
      </w:pPr>
    </w:p>
    <w:p>
      <w:pPr>
        <w:ind w:firstLine="555"/>
        <w:rPr>
          <w:rFonts w:hint="eastAsia" w:ascii="仿宋_GB2312" w:hAnsi="仿宋_GB2312" w:eastAsia="仿宋_GB2312" w:cs="仿宋_GB2312"/>
          <w:color w:val="000000"/>
          <w:sz w:val="32"/>
          <w:szCs w:val="32"/>
        </w:rPr>
      </w:pPr>
    </w:p>
    <w:p>
      <w:pPr>
        <w:ind w:firstLine="555"/>
        <w:rPr>
          <w:rFonts w:hint="eastAsia" w:ascii="仿宋_GB2312" w:hAnsi="仿宋_GB2312" w:eastAsia="仿宋_GB2312" w:cs="仿宋_GB2312"/>
          <w:color w:val="000000"/>
          <w:sz w:val="32"/>
          <w:szCs w:val="32"/>
        </w:rPr>
      </w:pPr>
    </w:p>
    <w:p>
      <w:pPr>
        <w:spacing w:line="560" w:lineRule="exact"/>
        <w:jc w:val="left"/>
        <w:rPr>
          <w:rFonts w:hint="eastAsia" w:ascii="Times New Roman" w:hAnsi="Times New Roman" w:eastAsia="黑体" w:cs="Times New Roman"/>
          <w:color w:val="000000"/>
          <w:sz w:val="32"/>
          <w:szCs w:val="32"/>
        </w:rPr>
        <w:sectPr>
          <w:footerReference r:id="rId3" w:type="default"/>
          <w:pgSz w:w="11906" w:h="16838"/>
          <w:pgMar w:top="1814" w:right="1474" w:bottom="1701" w:left="1587" w:header="851" w:footer="1587" w:gutter="0"/>
          <w:pgNumType w:fmt="decimal" w:start="3"/>
          <w:cols w:space="720" w:num="1"/>
          <w:rtlGutter w:val="0"/>
          <w:docGrid w:type="lines" w:linePitch="312" w:charSpace="0"/>
        </w:sectPr>
      </w:pPr>
    </w:p>
    <w:p>
      <w:pPr>
        <w:spacing w:line="300" w:lineRule="exact"/>
        <w:jc w:val="left"/>
        <w:rPr>
          <w:rFonts w:hint="eastAsia" w:ascii="黑体" w:hAnsi="黑体" w:eastAsia="黑体" w:cs="黑体"/>
          <w:color w:val="000000"/>
          <w:sz w:val="32"/>
          <w:szCs w:val="32"/>
        </w:rPr>
      </w:pPr>
      <w:bookmarkStart w:id="0" w:name="_Toc478809029"/>
      <w:r>
        <w:rPr>
          <w:rFonts w:hint="eastAsia" w:ascii="黑体" w:hAnsi="黑体" w:eastAsia="黑体" w:cs="黑体"/>
          <w:color w:val="000000"/>
          <w:sz w:val="32"/>
          <w:szCs w:val="32"/>
        </w:rPr>
        <w:t>附件1</w:t>
      </w:r>
    </w:p>
    <w:bookmarkEnd w:id="0"/>
    <w:p>
      <w:pPr>
        <w:spacing w:line="6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职业病危害治理企业基本情况登记表（治理前）</w:t>
      </w:r>
    </w:p>
    <w:p>
      <w:pPr>
        <w:spacing w:before="156" w:beforeLines="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填报单位：</w:t>
      </w:r>
      <w:r>
        <w:rPr>
          <w:rFonts w:hint="eastAsia" w:ascii="仿宋_GB2312" w:hAnsi="仿宋_GB2312" w:eastAsia="仿宋_GB2312" w:cs="仿宋_GB2312"/>
          <w:color w:val="000000"/>
          <w:sz w:val="28"/>
          <w:szCs w:val="28"/>
          <w:lang w:eastAsia="zh-CN"/>
        </w:rPr>
        <w:t>（盖章）</w:t>
      </w:r>
      <w:r>
        <w:rPr>
          <w:rFonts w:hint="eastAsia" w:ascii="仿宋_GB2312" w:hAnsi="仿宋_GB2312" w:eastAsia="仿宋_GB2312" w:cs="仿宋_GB2312"/>
          <w:color w:val="000000"/>
          <w:sz w:val="28"/>
          <w:szCs w:val="28"/>
        </w:rPr>
        <w:t xml:space="preserve">                              填表人：                  联系电话：</w:t>
      </w:r>
    </w:p>
    <w:tbl>
      <w:tblPr>
        <w:tblStyle w:val="9"/>
        <w:tblW w:w="1431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708"/>
        <w:gridCol w:w="988"/>
        <w:gridCol w:w="1091"/>
        <w:gridCol w:w="888"/>
        <w:gridCol w:w="715"/>
        <w:gridCol w:w="708"/>
        <w:gridCol w:w="567"/>
        <w:gridCol w:w="709"/>
        <w:gridCol w:w="318"/>
        <w:gridCol w:w="285"/>
        <w:gridCol w:w="329"/>
        <w:gridCol w:w="690"/>
        <w:gridCol w:w="930"/>
        <w:gridCol w:w="709"/>
        <w:gridCol w:w="709"/>
        <w:gridCol w:w="795"/>
        <w:gridCol w:w="763"/>
        <w:gridCol w:w="709"/>
        <w:gridCol w:w="523"/>
        <w:gridCol w:w="675"/>
        <w:gridCol w:w="503"/>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96" w:hRule="atLeast"/>
          <w:jc w:val="center"/>
        </w:trPr>
        <w:tc>
          <w:tcPr>
            <w:tcW w:w="708" w:type="dxa"/>
            <w:vMerge w:val="restart"/>
            <w:tcBorders>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988"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 xml:space="preserve">行业 </w:t>
            </w:r>
            <w:r>
              <w:rPr>
                <w:rFonts w:hint="eastAsia" w:ascii="黑体" w:hAnsi="黑体" w:eastAsia="黑体" w:cs="黑体"/>
                <w:color w:val="000000"/>
                <w:szCs w:val="21"/>
                <w:vertAlign w:val="superscript"/>
              </w:rPr>
              <w:t>[1]</w:t>
            </w:r>
          </w:p>
        </w:tc>
        <w:tc>
          <w:tcPr>
            <w:tcW w:w="1091"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企业名称</w:t>
            </w:r>
          </w:p>
        </w:tc>
        <w:tc>
          <w:tcPr>
            <w:tcW w:w="888"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所在</w:t>
            </w:r>
          </w:p>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设区市</w:t>
            </w:r>
          </w:p>
        </w:tc>
        <w:tc>
          <w:tcPr>
            <w:tcW w:w="715"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规模</w:t>
            </w:r>
            <w:r>
              <w:rPr>
                <w:rFonts w:hint="eastAsia" w:ascii="黑体" w:hAnsi="黑体" w:eastAsia="黑体" w:cs="黑体"/>
                <w:color w:val="000000"/>
                <w:szCs w:val="21"/>
                <w:vertAlign w:val="superscript"/>
              </w:rPr>
              <w:t>[2]</w:t>
            </w:r>
          </w:p>
        </w:tc>
        <w:tc>
          <w:tcPr>
            <w:tcW w:w="708"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注册</w:t>
            </w:r>
          </w:p>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类型</w:t>
            </w:r>
            <w:r>
              <w:rPr>
                <w:rFonts w:hint="eastAsia" w:ascii="黑体" w:hAnsi="黑体" w:eastAsia="黑体" w:cs="黑体"/>
                <w:color w:val="000000"/>
                <w:szCs w:val="21"/>
                <w:vertAlign w:val="superscript"/>
              </w:rPr>
              <w:t>[3]</w:t>
            </w:r>
          </w:p>
        </w:tc>
        <w:tc>
          <w:tcPr>
            <w:tcW w:w="567"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从业人员总数</w:t>
            </w:r>
          </w:p>
        </w:tc>
        <w:tc>
          <w:tcPr>
            <w:tcW w:w="709" w:type="dxa"/>
            <w:vMerge w:val="restart"/>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是否进行职业病危害项目申报</w:t>
            </w:r>
          </w:p>
        </w:tc>
        <w:tc>
          <w:tcPr>
            <w:tcW w:w="932" w:type="dxa"/>
            <w:gridSpan w:val="3"/>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接触尘毒噪职业病危害人数</w:t>
            </w:r>
          </w:p>
        </w:tc>
        <w:tc>
          <w:tcPr>
            <w:tcW w:w="1620" w:type="dxa"/>
            <w:gridSpan w:val="2"/>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2019年以来是否开展</w:t>
            </w:r>
          </w:p>
        </w:tc>
        <w:tc>
          <w:tcPr>
            <w:tcW w:w="1418" w:type="dxa"/>
            <w:gridSpan w:val="2"/>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2020年以来新发职业病情况</w:t>
            </w:r>
          </w:p>
        </w:tc>
        <w:tc>
          <w:tcPr>
            <w:tcW w:w="2267" w:type="dxa"/>
            <w:gridSpan w:val="3"/>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r>
              <w:rPr>
                <w:rFonts w:hint="eastAsia" w:ascii="黑体" w:hAnsi="黑体" w:eastAsia="黑体" w:cs="黑体"/>
                <w:color w:val="000000"/>
                <w:szCs w:val="21"/>
              </w:rPr>
              <w:t>治理前</w:t>
            </w:r>
            <w:r>
              <w:rPr>
                <w:rFonts w:hint="eastAsia" w:ascii="黑体" w:hAnsi="黑体" w:eastAsia="黑体" w:cs="黑体"/>
                <w:bCs/>
                <w:color w:val="000000"/>
                <w:szCs w:val="21"/>
              </w:rPr>
              <w:t>作业岗位</w:t>
            </w:r>
          </w:p>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超标数量/检测数量</w:t>
            </w:r>
          </w:p>
        </w:tc>
        <w:tc>
          <w:tcPr>
            <w:tcW w:w="523" w:type="dxa"/>
            <w:vMerge w:val="restart"/>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整改措施</w:t>
            </w:r>
          </w:p>
        </w:tc>
        <w:tc>
          <w:tcPr>
            <w:tcW w:w="675" w:type="dxa"/>
            <w:vMerge w:val="restart"/>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整</w:t>
            </w:r>
          </w:p>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改</w:t>
            </w:r>
          </w:p>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时</w:t>
            </w:r>
          </w:p>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限</w:t>
            </w:r>
          </w:p>
        </w:tc>
        <w:tc>
          <w:tcPr>
            <w:tcW w:w="503" w:type="dxa"/>
            <w:vMerge w:val="restart"/>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r>
              <w:rPr>
                <w:rFonts w:hint="eastAsia" w:ascii="黑体" w:hAnsi="黑体" w:eastAsia="黑体" w:cs="黑体"/>
                <w:bCs/>
                <w:color w:val="000000"/>
                <w:szCs w:val="21"/>
              </w:rPr>
              <w:t>资金投入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39" w:hRule="atLeast"/>
          <w:jc w:val="center"/>
        </w:trPr>
        <w:tc>
          <w:tcPr>
            <w:tcW w:w="708" w:type="dxa"/>
            <w:vMerge w:val="continue"/>
            <w:tcBorders>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988"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1091"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888"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715"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708"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567"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709" w:type="dxa"/>
            <w:vMerge w:val="continue"/>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p>
        </w:tc>
        <w:tc>
          <w:tcPr>
            <w:tcW w:w="318"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尘</w:t>
            </w:r>
          </w:p>
        </w:tc>
        <w:tc>
          <w:tcPr>
            <w:tcW w:w="285"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毒</w:t>
            </w:r>
          </w:p>
        </w:tc>
        <w:tc>
          <w:tcPr>
            <w:tcW w:w="329"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噪声</w:t>
            </w:r>
          </w:p>
        </w:tc>
        <w:tc>
          <w:tcPr>
            <w:tcW w:w="690"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定期检测</w:t>
            </w:r>
          </w:p>
        </w:tc>
        <w:tc>
          <w:tcPr>
            <w:tcW w:w="930"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职业病危害评价</w:t>
            </w:r>
          </w:p>
        </w:tc>
        <w:tc>
          <w:tcPr>
            <w:tcW w:w="709"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疑似人数</w:t>
            </w:r>
          </w:p>
        </w:tc>
        <w:tc>
          <w:tcPr>
            <w:tcW w:w="709" w:type="dxa"/>
            <w:tcBorders>
              <w:left w:val="single" w:color="auto" w:sz="4" w:space="0"/>
              <w:righ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确诊人数</w:t>
            </w:r>
          </w:p>
        </w:tc>
        <w:tc>
          <w:tcPr>
            <w:tcW w:w="795" w:type="dxa"/>
            <w:tcBorders>
              <w:lef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粉尘</w:t>
            </w:r>
          </w:p>
        </w:tc>
        <w:tc>
          <w:tcPr>
            <w:tcW w:w="763" w:type="dxa"/>
            <w:tcBorders>
              <w:left w:val="single" w:color="auto" w:sz="4" w:space="0"/>
            </w:tcBorders>
            <w:noWrap w:val="0"/>
            <w:vAlign w:val="center"/>
          </w:tcPr>
          <w:p>
            <w:pPr>
              <w:spacing w:line="300" w:lineRule="exact"/>
              <w:jc w:val="center"/>
              <w:rPr>
                <w:rFonts w:hint="eastAsia" w:ascii="黑体" w:hAnsi="黑体" w:eastAsia="黑体" w:cs="黑体"/>
                <w:color w:val="000000"/>
                <w:szCs w:val="21"/>
              </w:rPr>
            </w:pPr>
            <w:r>
              <w:rPr>
                <w:rFonts w:hint="eastAsia" w:ascii="黑体" w:hAnsi="黑体" w:eastAsia="黑体" w:cs="黑体"/>
                <w:color w:val="000000"/>
                <w:szCs w:val="21"/>
              </w:rPr>
              <w:t>化学毒物</w:t>
            </w:r>
          </w:p>
        </w:tc>
        <w:tc>
          <w:tcPr>
            <w:tcW w:w="709" w:type="dxa"/>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r>
              <w:rPr>
                <w:rFonts w:hint="eastAsia" w:ascii="黑体" w:hAnsi="黑体" w:eastAsia="黑体" w:cs="黑体"/>
                <w:color w:val="000000"/>
                <w:szCs w:val="21"/>
              </w:rPr>
              <w:t>噪声</w:t>
            </w:r>
          </w:p>
        </w:tc>
        <w:tc>
          <w:tcPr>
            <w:tcW w:w="523" w:type="dxa"/>
            <w:vMerge w:val="continue"/>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p>
        </w:tc>
        <w:tc>
          <w:tcPr>
            <w:tcW w:w="675" w:type="dxa"/>
            <w:vMerge w:val="continue"/>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p>
        </w:tc>
        <w:tc>
          <w:tcPr>
            <w:tcW w:w="503" w:type="dxa"/>
            <w:vMerge w:val="continue"/>
            <w:tcBorders>
              <w:left w:val="single" w:color="auto" w:sz="4" w:space="0"/>
            </w:tcBorders>
            <w:noWrap w:val="0"/>
            <w:vAlign w:val="center"/>
          </w:tcPr>
          <w:p>
            <w:pPr>
              <w:spacing w:line="300" w:lineRule="exact"/>
              <w:jc w:val="center"/>
              <w:rPr>
                <w:rFonts w:hint="eastAsia" w:ascii="黑体" w:hAnsi="黑体" w:eastAsia="黑体" w:cs="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59" w:hRule="atLeast"/>
          <w:jc w:val="center"/>
        </w:trPr>
        <w:tc>
          <w:tcPr>
            <w:tcW w:w="708" w:type="dxa"/>
            <w:tcBorders>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1091"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8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1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67"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31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28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32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69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93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95"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pacing w:val="-11"/>
              </w:rPr>
              <w:t>( )/( )</w:t>
            </w:r>
          </w:p>
        </w:tc>
        <w:tc>
          <w:tcPr>
            <w:tcW w:w="763" w:type="dxa"/>
            <w:tcBorders>
              <w:left w:val="single" w:color="auto" w:sz="4" w:space="0"/>
            </w:tcBorders>
            <w:noWrap w:val="0"/>
            <w:vAlign w:val="center"/>
          </w:tcPr>
          <w:p>
            <w:pPr>
              <w:jc w:val="center"/>
              <w:rPr>
                <w:rFonts w:hint="eastAsia" w:ascii="仿宋_GB2312" w:hAnsi="仿宋_GB2312" w:eastAsia="仿宋_GB2312" w:cs="仿宋_GB2312"/>
                <w:color w:val="000000"/>
                <w:spacing w:val="-17"/>
              </w:rPr>
            </w:pPr>
            <w:r>
              <w:rPr>
                <w:rFonts w:hint="eastAsia" w:ascii="仿宋_GB2312" w:hAnsi="仿宋_GB2312" w:eastAsia="仿宋_GB2312" w:cs="仿宋_GB2312"/>
                <w:color w:val="000000"/>
                <w:spacing w:val="-17"/>
              </w:rPr>
              <w:t>( )/( )</w:t>
            </w:r>
          </w:p>
        </w:tc>
        <w:tc>
          <w:tcPr>
            <w:tcW w:w="709" w:type="dxa"/>
            <w:tcBorders>
              <w:left w:val="single" w:color="auto" w:sz="4" w:space="0"/>
            </w:tcBorders>
            <w:noWrap w:val="0"/>
            <w:vAlign w:val="center"/>
          </w:tcPr>
          <w:p>
            <w:pPr>
              <w:jc w:val="center"/>
              <w:rPr>
                <w:rFonts w:hint="eastAsia" w:ascii="仿宋_GB2312" w:hAnsi="仿宋_GB2312" w:eastAsia="仿宋_GB2312" w:cs="仿宋_GB2312"/>
                <w:color w:val="000000"/>
                <w:spacing w:val="-23"/>
              </w:rPr>
            </w:pPr>
            <w:r>
              <w:rPr>
                <w:rFonts w:hint="eastAsia" w:ascii="仿宋_GB2312" w:hAnsi="仿宋_GB2312" w:eastAsia="仿宋_GB2312" w:cs="仿宋_GB2312"/>
                <w:color w:val="000000"/>
                <w:spacing w:val="-23"/>
              </w:rPr>
              <w:t>( )/( )</w:t>
            </w:r>
          </w:p>
        </w:tc>
        <w:tc>
          <w:tcPr>
            <w:tcW w:w="52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675"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0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32" w:hRule="atLeast"/>
          <w:jc w:val="center"/>
        </w:trPr>
        <w:tc>
          <w:tcPr>
            <w:tcW w:w="708" w:type="dxa"/>
            <w:tcBorders>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9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1091"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8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1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67"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31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28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32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69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93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95" w:type="dxa"/>
            <w:tcBorders>
              <w:left w:val="single" w:color="auto" w:sz="4" w:space="0"/>
            </w:tcBorders>
            <w:noWrap w:val="0"/>
            <w:vAlign w:val="center"/>
          </w:tcPr>
          <w:p>
            <w:pPr>
              <w:jc w:val="center"/>
              <w:rPr>
                <w:rFonts w:hint="eastAsia" w:ascii="仿宋_GB2312" w:hAnsi="仿宋_GB2312" w:eastAsia="仿宋_GB2312" w:cs="仿宋_GB2312"/>
                <w:color w:val="000000"/>
                <w:spacing w:val="-11"/>
              </w:rPr>
            </w:pPr>
            <w:r>
              <w:rPr>
                <w:rFonts w:hint="eastAsia" w:ascii="仿宋_GB2312" w:hAnsi="仿宋_GB2312" w:eastAsia="仿宋_GB2312" w:cs="仿宋_GB2312"/>
                <w:color w:val="000000"/>
                <w:spacing w:val="-11"/>
              </w:rPr>
              <w:t>( )/( )</w:t>
            </w:r>
          </w:p>
        </w:tc>
        <w:tc>
          <w:tcPr>
            <w:tcW w:w="763"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r>
              <w:rPr>
                <w:rFonts w:hint="eastAsia" w:ascii="仿宋_GB2312" w:hAnsi="仿宋_GB2312" w:eastAsia="仿宋_GB2312" w:cs="仿宋_GB2312"/>
                <w:color w:val="000000"/>
                <w:spacing w:val="-17"/>
              </w:rPr>
              <w:t xml:space="preserve"> )/( )</w:t>
            </w:r>
          </w:p>
        </w:tc>
        <w:tc>
          <w:tcPr>
            <w:tcW w:w="709"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pacing w:val="-23"/>
              </w:rPr>
              <w:t>( )/( )</w:t>
            </w:r>
          </w:p>
        </w:tc>
        <w:tc>
          <w:tcPr>
            <w:tcW w:w="52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675"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0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97" w:hRule="atLeast"/>
          <w:jc w:val="center"/>
        </w:trPr>
        <w:tc>
          <w:tcPr>
            <w:tcW w:w="708" w:type="dxa"/>
            <w:tcBorders>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9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1091"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88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1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67"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318"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285"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329"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rPr>
            </w:pPr>
          </w:p>
        </w:tc>
        <w:tc>
          <w:tcPr>
            <w:tcW w:w="69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930" w:type="dxa"/>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09" w:type="dxa"/>
            <w:tcBorders>
              <w:left w:val="single" w:color="auto" w:sz="4" w:space="0"/>
              <w:right w:val="single" w:color="auto" w:sz="4" w:space="0"/>
            </w:tcBorders>
            <w:noWrap w:val="0"/>
            <w:vAlign w:val="center"/>
          </w:tcPr>
          <w:p>
            <w:pPr>
              <w:pStyle w:val="2"/>
              <w:ind w:firstLine="0" w:firstLineChars="0"/>
              <w:jc w:val="center"/>
              <w:rPr>
                <w:rFonts w:hint="eastAsia" w:ascii="仿宋_GB2312" w:hAnsi="仿宋_GB2312" w:eastAsia="仿宋_GB2312" w:cs="仿宋_GB2312"/>
                <w:color w:val="000000"/>
                <w:sz w:val="21"/>
                <w:szCs w:val="21"/>
              </w:rPr>
            </w:pPr>
          </w:p>
        </w:tc>
        <w:tc>
          <w:tcPr>
            <w:tcW w:w="795"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r>
              <w:rPr>
                <w:rFonts w:hint="eastAsia" w:ascii="仿宋_GB2312" w:hAnsi="仿宋_GB2312" w:eastAsia="仿宋_GB2312" w:cs="仿宋_GB2312"/>
                <w:color w:val="000000"/>
                <w:spacing w:val="-11"/>
              </w:rPr>
              <w:t xml:space="preserve"> )/( )</w:t>
            </w:r>
          </w:p>
        </w:tc>
        <w:tc>
          <w:tcPr>
            <w:tcW w:w="763"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r>
              <w:rPr>
                <w:rFonts w:hint="eastAsia" w:ascii="仿宋_GB2312" w:hAnsi="仿宋_GB2312" w:eastAsia="仿宋_GB2312" w:cs="仿宋_GB2312"/>
                <w:color w:val="000000"/>
                <w:spacing w:val="-17"/>
              </w:rPr>
              <w:t xml:space="preserve"> )/( )</w:t>
            </w:r>
          </w:p>
        </w:tc>
        <w:tc>
          <w:tcPr>
            <w:tcW w:w="709" w:type="dxa"/>
            <w:tcBorders>
              <w:left w:val="single" w:color="auto" w:sz="4" w:space="0"/>
            </w:tcBorders>
            <w:noWrap w:val="0"/>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pacing w:val="-23"/>
              </w:rPr>
              <w:t>( )/( )</w:t>
            </w:r>
          </w:p>
        </w:tc>
        <w:tc>
          <w:tcPr>
            <w:tcW w:w="52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675"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c>
          <w:tcPr>
            <w:tcW w:w="503" w:type="dxa"/>
            <w:tcBorders>
              <w:left w:val="single" w:color="auto" w:sz="4" w:space="0"/>
            </w:tcBorders>
            <w:noWrap w:val="0"/>
            <w:vAlign w:val="center"/>
          </w:tcPr>
          <w:p>
            <w:pPr>
              <w:spacing w:line="300" w:lineRule="exact"/>
              <w:jc w:val="center"/>
              <w:rPr>
                <w:rFonts w:hint="eastAsia" w:ascii="仿宋_GB2312" w:hAnsi="仿宋_GB2312" w:eastAsia="仿宋_GB2312" w:cs="仿宋_GB2312"/>
                <w:color w:val="000000"/>
                <w:szCs w:val="21"/>
              </w:rPr>
            </w:pPr>
          </w:p>
        </w:tc>
      </w:tr>
    </w:tbl>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说明：1</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*参照《国家卫生健康委办公厅关于公布建设项目职业病危害风险分类管理目录的通知》（国卫办职健发[2021]5号）</w:t>
      </w:r>
    </w:p>
    <w:p>
      <w:pPr>
        <w:spacing w:line="280" w:lineRule="exact"/>
        <w:ind w:left="958" w:leftChars="342" w:hanging="240" w:hanging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规模按照以下分类填写：大型（从业人员≥1000人，营业收入≥40000万元）、中型（300≤从业人员＜1000人，2000≤营业收入＜40000万元）、小型（20人≤从业人员＜300人，300万元≤营业收入＜2000万元）、微型（从业人员＜20人或营业收入＜300万元）。</w:t>
      </w:r>
    </w:p>
    <w:p>
      <w:pPr>
        <w:spacing w:line="280" w:lineRule="exact"/>
        <w:ind w:firstLine="720" w:firstLineChars="3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注册类型按照以下分类填写:央企、地方国有、集体、私营、港澳台、外资、其他。</w:t>
      </w:r>
    </w:p>
    <w:p>
      <w:pPr>
        <w:spacing w:line="280" w:lineRule="exact"/>
        <w:ind w:firstLine="720" w:firstLineChars="3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4.整改措施：新建防护设施、升级改造防护设施、加强个体防护。</w:t>
      </w:r>
    </w:p>
    <w:p>
      <w:pPr>
        <w:spacing w:line="280" w:lineRule="exact"/>
        <w:ind w:firstLine="720" w:firstLineChars="300"/>
        <w:rPr>
          <w:rFonts w:hint="eastAsia" w:ascii="仿宋_GB2312" w:hAnsi="仿宋_GB2312" w:eastAsia="仿宋_GB2312" w:cs="仿宋_GB2312"/>
          <w:color w:val="000000"/>
          <w:sz w:val="24"/>
          <w:szCs w:val="24"/>
          <w:lang w:val="en-US" w:eastAsia="zh-CN"/>
        </w:rPr>
        <w:sectPr>
          <w:pgSz w:w="16838" w:h="11906" w:orient="landscape"/>
          <w:pgMar w:top="1800" w:right="1440" w:bottom="1800" w:left="1440" w:header="851" w:footer="992" w:gutter="0"/>
          <w:pgNumType w:fmt="decimal"/>
          <w:cols w:space="720" w:num="1"/>
          <w:docGrid w:type="lines" w:linePitch="312" w:charSpace="0"/>
        </w:sectPr>
      </w:pPr>
    </w:p>
    <w:p>
      <w:pPr>
        <w:spacing w:line="56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ind w:firstLine="420" w:firstLineChars="200"/>
        <w:rPr>
          <w:rFonts w:ascii="Times New Roman" w:hAnsi="Times New Roman" w:eastAsia="宋体" w:cs="Times New Roman"/>
          <w:color w:val="000000"/>
          <w:szCs w:val="20"/>
        </w:rPr>
      </w:pPr>
    </w:p>
    <w:p>
      <w:pPr>
        <w:snapToGrid w:val="0"/>
        <w:spacing w:line="240" w:lineRule="auto"/>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部分行业职业病危害治理</w:t>
      </w:r>
    </w:p>
    <w:p>
      <w:pPr>
        <w:snapToGrid w:val="0"/>
        <w:spacing w:line="240" w:lineRule="auto"/>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主要工程技术措施</w:t>
      </w:r>
    </w:p>
    <w:p>
      <w:pPr>
        <w:jc w:val="center"/>
        <w:rPr>
          <w:rFonts w:ascii="Times New Roman" w:hAnsi="Times New Roman" w:eastAsia="仿宋_GB2312" w:cs="Times New Roman"/>
          <w:b/>
          <w:color w:val="000000"/>
          <w:spacing w:val="8"/>
          <w:kern w:val="0"/>
          <w:sz w:val="28"/>
          <w:szCs w:val="28"/>
        </w:rPr>
      </w:pPr>
    </w:p>
    <w:p>
      <w:pPr>
        <w:jc w:val="center"/>
        <w:rPr>
          <w:rFonts w:hint="eastAsia" w:ascii="黑体" w:hAnsi="黑体" w:eastAsia="黑体" w:cs="黑体"/>
          <w:b w:val="0"/>
          <w:bCs/>
          <w:color w:val="000000"/>
          <w:spacing w:val="8"/>
          <w:kern w:val="0"/>
          <w:sz w:val="24"/>
          <w:szCs w:val="24"/>
        </w:rPr>
      </w:pPr>
      <w:r>
        <w:rPr>
          <w:rFonts w:hint="eastAsia" w:ascii="黑体" w:hAnsi="黑体" w:eastAsia="黑体" w:cs="黑体"/>
          <w:b w:val="0"/>
          <w:bCs/>
          <w:color w:val="000000"/>
          <w:spacing w:val="8"/>
          <w:kern w:val="0"/>
          <w:sz w:val="28"/>
          <w:szCs w:val="28"/>
        </w:rPr>
        <w:t>目</w:t>
      </w:r>
      <w:r>
        <w:rPr>
          <w:rFonts w:hint="default" w:ascii="黑体" w:hAnsi="黑体" w:eastAsia="黑体" w:cs="黑体"/>
          <w:b w:val="0"/>
          <w:bCs/>
          <w:color w:val="000000"/>
          <w:spacing w:val="8"/>
          <w:kern w:val="0"/>
          <w:sz w:val="28"/>
          <w:szCs w:val="28"/>
          <w:lang w:val="en"/>
        </w:rPr>
        <w:t xml:space="preserve">   </w:t>
      </w:r>
      <w:r>
        <w:rPr>
          <w:rFonts w:hint="eastAsia" w:ascii="黑体" w:hAnsi="黑体" w:eastAsia="黑体" w:cs="黑体"/>
          <w:b w:val="0"/>
          <w:bCs/>
          <w:color w:val="000000"/>
          <w:spacing w:val="8"/>
          <w:kern w:val="0"/>
          <w:sz w:val="28"/>
          <w:szCs w:val="28"/>
        </w:rPr>
        <w:t>录</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TOC \o "1-3" \h \u </w:instrText>
      </w:r>
      <w:r>
        <w:rPr>
          <w:rFonts w:hint="eastAsia" w:ascii="仿宋_GB2312" w:hAnsi="仿宋_GB2312" w:eastAsia="仿宋_GB2312" w:cs="仿宋_GB2312"/>
          <w:color w:val="000000"/>
          <w:sz w:val="24"/>
          <w:szCs w:val="24"/>
        </w:rPr>
        <w:fldChar w:fldCharType="separate"/>
      </w: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"_Toc28444"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一、矿山开采</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14</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"_Toc7077"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 井工煤矿</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14</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"_Toc2130"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（二）非煤地下矿山</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17</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"_Toc31010"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（三）非煤露天矿山</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18</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"_Toc6422"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二、金属冶炼</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20</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"_Toc23867"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（一）黑色金属冶炼</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20</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"_Toc29498"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（二）有色金属冶炼</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35</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"_Toc24230"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三、石油化工行业</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39</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"_Toc22041"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（一）炼油部分</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39</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"_Toc15558"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（二）化工部分</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47</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"_Toc29471"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（三）储运部分</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51</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"_Toc23719"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（四）公辅部分</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52</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"_Toc22342"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四、汽车制造</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53</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"_Toc27375"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（一）焊接</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53</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"_Toc27089"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（二）喷漆和调漆</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54</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"_Toc12869"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（三）总装</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54</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"_Toc29069"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五、建材行业</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55</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"_Toc29178"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（一）水泥制造</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55</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"_Toc23896"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（二）陶瓷制造</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57</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"_Toc7932"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（三）石材加工</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61</w:t>
      </w:r>
    </w:p>
    <w:p>
      <w:pPr>
        <w:pStyle w:val="7"/>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"_Toc12748"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六、皮革制造</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62</w:t>
      </w:r>
    </w:p>
    <w:p>
      <w:pPr>
        <w:pStyle w:val="8"/>
        <w:tabs>
          <w:tab w:val="right" w:leader="dot" w:pos="8306"/>
        </w:tabs>
        <w:rPr>
          <w:rFonts w:hint="default" w:ascii="仿宋_GB2312" w:hAnsi="仿宋_GB2312" w:eastAsia="仿宋_GB2312" w:cs="仿宋_GB2312"/>
          <w:color w:val="000000"/>
          <w:sz w:val="24"/>
          <w:szCs w:val="24"/>
          <w:lang w:val="en"/>
        </w:rPr>
      </w:pPr>
      <w:r>
        <w:rPr>
          <w:rFonts w:hint="eastAsia" w:ascii="仿宋_GB2312" w:hAnsi="仿宋_GB2312" w:eastAsia="仿宋_GB2312" w:cs="仿宋_GB2312"/>
          <w:color w:val="000000"/>
        </w:rPr>
        <w:fldChar w:fldCharType="begin"/>
      </w:r>
      <w:r>
        <w:rPr>
          <w:rFonts w:hint="eastAsia" w:ascii="仿宋_GB2312" w:hAnsi="仿宋_GB2312" w:eastAsia="仿宋_GB2312" w:cs="仿宋_GB2312"/>
          <w:color w:val="000000"/>
        </w:rPr>
        <w:instrText xml:space="preserve"> HYPERLINK \l "_Toc2390" </w:instrText>
      </w:r>
      <w:r>
        <w:rPr>
          <w:rFonts w:hint="eastAsia" w:ascii="仿宋_GB2312" w:hAnsi="仿宋_GB2312" w:eastAsia="仿宋_GB2312" w:cs="仿宋_GB2312"/>
          <w:color w:val="000000"/>
        </w:rPr>
        <w:fldChar w:fldCharType="separate"/>
      </w:r>
      <w:r>
        <w:rPr>
          <w:rFonts w:hint="eastAsia" w:ascii="仿宋_GB2312" w:hAnsi="仿宋_GB2312" w:eastAsia="仿宋_GB2312" w:cs="仿宋_GB2312"/>
          <w:color w:val="000000"/>
          <w:sz w:val="24"/>
          <w:szCs w:val="24"/>
        </w:rPr>
        <w:t>（一）皮革制品制造（制鞋、箱包）</w:t>
      </w:r>
      <w:r>
        <w:rPr>
          <w:rFonts w:hint="eastAsia" w:ascii="仿宋_GB2312" w:hAnsi="仿宋_GB2312" w:eastAsia="仿宋_GB2312" w:cs="仿宋_GB2312"/>
          <w:color w:val="000000"/>
          <w:sz w:val="24"/>
          <w:szCs w:val="24"/>
        </w:rPr>
        <w:tab/>
      </w:r>
      <w:r>
        <w:rPr>
          <w:rFonts w:hint="eastAsia" w:ascii="仿宋_GB2312" w:hAnsi="仿宋_GB2312" w:eastAsia="仿宋_GB2312" w:cs="仿宋_GB2312"/>
          <w:color w:val="000000"/>
          <w:sz w:val="24"/>
          <w:szCs w:val="24"/>
        </w:rPr>
        <w:fldChar w:fldCharType="end"/>
      </w:r>
      <w:r>
        <w:rPr>
          <w:rFonts w:hint="default" w:ascii="仿宋_GB2312" w:hAnsi="仿宋_GB2312" w:eastAsia="仿宋_GB2312" w:cs="仿宋_GB2312"/>
          <w:color w:val="000000"/>
          <w:sz w:val="24"/>
          <w:szCs w:val="24"/>
          <w:lang w:val="en"/>
        </w:rPr>
        <w:t>62</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szCs w:val="24"/>
        </w:rPr>
        <w:fldChar w:fldCharType="end"/>
      </w:r>
    </w:p>
    <w:p>
      <w:pPr>
        <w:rPr>
          <w:rFonts w:ascii="宋体" w:hAnsi="宋体" w:eastAsia="宋体"/>
          <w:color w:val="000000"/>
          <w:sz w:val="28"/>
          <w:szCs w:val="28"/>
        </w:rPr>
      </w:pPr>
    </w:p>
    <w:p>
      <w:pPr>
        <w:pStyle w:val="2"/>
        <w:rPr>
          <w:color w:val="000000"/>
        </w:rPr>
      </w:pPr>
    </w:p>
    <w:p>
      <w:pPr>
        <w:rPr>
          <w:rFonts w:ascii="宋体" w:hAnsi="宋体" w:eastAsia="宋体"/>
          <w:color w:val="000000"/>
          <w:sz w:val="28"/>
          <w:szCs w:val="28"/>
        </w:rPr>
      </w:pPr>
    </w:p>
    <w:p>
      <w:pPr>
        <w:pStyle w:val="2"/>
        <w:rPr>
          <w:rFonts w:ascii="宋体" w:hAnsi="宋体"/>
          <w:color w:val="000000"/>
          <w:sz w:val="28"/>
          <w:szCs w:val="28"/>
        </w:rPr>
      </w:pPr>
    </w:p>
    <w:p>
      <w:pPr>
        <w:pStyle w:val="3"/>
        <w:rPr>
          <w:rFonts w:ascii="宋体" w:hAnsi="宋体" w:eastAsia="宋体"/>
          <w:color w:val="000000"/>
          <w:sz w:val="28"/>
          <w:szCs w:val="28"/>
        </w:rPr>
      </w:pPr>
    </w:p>
    <w:p>
      <w:pPr>
        <w:pStyle w:val="3"/>
        <w:rPr>
          <w:rFonts w:ascii="宋体" w:hAnsi="宋体" w:eastAsia="宋体"/>
          <w:color w:val="000000"/>
          <w:sz w:val="28"/>
          <w:szCs w:val="28"/>
        </w:rPr>
      </w:pPr>
    </w:p>
    <w:p>
      <w:pPr>
        <w:pStyle w:val="4"/>
        <w:spacing w:before="0" w:after="0" w:line="360" w:lineRule="auto"/>
        <w:jc w:val="center"/>
        <w:rPr>
          <w:rFonts w:hint="eastAsia" w:ascii="黑体" w:hAnsi="黑体" w:eastAsia="黑体" w:cs="黑体"/>
          <w:b w:val="0"/>
          <w:bCs/>
          <w:color w:val="000000"/>
          <w:sz w:val="28"/>
          <w:szCs w:val="28"/>
        </w:rPr>
      </w:pPr>
      <w:bookmarkStart w:id="1" w:name="_Toc28444"/>
      <w:r>
        <w:rPr>
          <w:rFonts w:hint="eastAsia" w:ascii="黑体" w:hAnsi="黑体" w:eastAsia="黑体" w:cs="黑体"/>
          <w:b w:val="0"/>
          <w:bCs/>
          <w:color w:val="000000"/>
          <w:sz w:val="28"/>
          <w:szCs w:val="28"/>
        </w:rPr>
        <w:t>一、矿山开采</w:t>
      </w:r>
      <w:bookmarkEnd w:id="1"/>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矿山开采过程中产生的职业病危害主要是粉尘，下面分别对井工煤矿、露天煤矿、非煤地下矿山、非煤露天矿山提出了粉尘防治主要工程技术措施。</w:t>
      </w:r>
    </w:p>
    <w:p>
      <w:pPr>
        <w:pStyle w:val="5"/>
        <w:numPr>
          <w:ilvl w:val="0"/>
          <w:numId w:val="1"/>
        </w:numPr>
        <w:spacing w:before="0" w:after="0" w:line="360" w:lineRule="auto"/>
        <w:ind w:left="884" w:hanging="884"/>
        <w:jc w:val="center"/>
        <w:rPr>
          <w:rFonts w:hint="eastAsia" w:ascii="仿宋_GB2312" w:hAnsi="仿宋_GB2312" w:eastAsia="仿宋_GB2312" w:cs="仿宋_GB2312"/>
          <w:color w:val="000000"/>
          <w:sz w:val="28"/>
          <w:szCs w:val="28"/>
        </w:rPr>
      </w:pPr>
      <w:bookmarkStart w:id="2" w:name="_Toc7077"/>
      <w:r>
        <w:rPr>
          <w:rFonts w:hint="eastAsia" w:ascii="仿宋_GB2312" w:hAnsi="仿宋_GB2312" w:eastAsia="仿宋_GB2312" w:cs="仿宋_GB2312"/>
          <w:color w:val="000000"/>
          <w:sz w:val="28"/>
          <w:szCs w:val="28"/>
        </w:rPr>
        <w:t>井工煤矿</w:t>
      </w:r>
      <w:bookmarkEnd w:id="2"/>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井工煤矿开采存在的粉尘主要有煤尘、矽尘。掘进、采煤、运输等重点环节粉尘治理主要工程技术措施如下：</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1.掘进</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（1）在煤、岩层中钻孔，应当采取湿式作业。煤（岩）与瓦斯突出煤层或者软煤层中难以采取湿式钻孔时，可以采取干式钻孔，但必须采取除尘器捕尘、除尘，除尘器的呼吸性粉尘除尘效率不得低于90%。</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（2）掘进井巷和硐室时，必须采用湿式钻眼，使用水炮泥，爆破前后冲洗井壁巷帮，爆破过程中采用高压喷雾（喷雾压力不低于8MPa）或者压气喷雾降尘、装岩（煤）洒水和净化风流等综合防尘措施。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掘进机作业时，应当使用内、外喷雾装置和控尘装置、除尘器等构成的综合防尘系统。掘进机内喷雾压力不得低于2MPa，外喷雾压力不得低于4MPa。内喷雾装置不能正常使用时，外喷雾压力不得低于8MPa；除尘器的呼吸性粉尘除尘效率不得低于90%。</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（4）必须建立防尘洒水系统。永久性防尘水池容量不得小于200m</w:t>
      </w:r>
      <w:r>
        <w:rPr>
          <w:rFonts w:hint="eastAsia" w:ascii="仿宋_GB2312" w:hAnsi="仿宋_GB2312" w:eastAsia="仿宋_GB2312" w:cs="仿宋_GB2312"/>
          <w:color w:val="000000"/>
          <w:sz w:val="28"/>
          <w:szCs w:val="28"/>
          <w:vertAlign w:val="superscript"/>
        </w:rPr>
        <w:t>3</w:t>
      </w:r>
      <w:r>
        <w:rPr>
          <w:rFonts w:hint="eastAsia" w:ascii="仿宋_GB2312" w:hAnsi="仿宋_GB2312" w:eastAsia="仿宋_GB2312" w:cs="仿宋_GB2312"/>
          <w:color w:val="000000"/>
          <w:sz w:val="28"/>
          <w:szCs w:val="28"/>
        </w:rPr>
        <w:t>，且贮水量不得小于井下连续2h的用水量，备用水池贮水量不得小于永久性防尘水池的50%。防尘管路应当敷设到所有可能产生粉尘和沉积粉尘的地点，没有防尘供水管路的采掘工作面不得生产。静压供水管路管径应当满足矿井防尘用水量的要求，强度应当满足静压水压力的要求。</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（5）掘进工作面回风侧应当设置粉尘浓度传感器，并接入安全监测监控系统。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（6）掘进工作面回风侧应当安设至少2道自动控制风流净化水幕。</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2.采煤</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所有煤层必须进行煤层注水可注性测试。对于可注水煤层必须进行煤层注水。煤层注水过程中应当对注水流量、注水量及压力等参数进行监测和控制，单孔注水总量应当使该钻孔预湿煤体的平均水分含量增量不低于1.5%，封孔深度应当保证注水过程中煤壁及钻孔不漏水、不跑水。在确保安全前提下，厚煤层分层开采时，应当在上一分层的采空区内灌水，对下一分层的煤体进行湿润。</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（2）采煤工作面回风侧应当设置粉尘浓度传感器，并接入安全监测监控系统。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（3）采煤工作面回风巷应当安设至少2道自动控制风流净化水幕。</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（4）炮采工作面应当采取湿式钻眼，使用水炮泥，爆破前后应当冲洗煤壁，爆破时应当采用高压喷雾（喷雾压力不低于8MPa）或者压气喷雾降尘，出煤时应当洒水降尘。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采煤机作业时，必须使用内、外喷雾装置。内喷雾压力不得低于2MPa，外喷雾压力不得低于4MPa。内喷雾装置不能正常使用时，外喷雾压力不得低于8MPa，否则采煤机必须停机。液压支架必须安装自动喷雾降尘装置，实现降柱、移架同步喷雾。破碎机必须安装防尘罩，并加装喷雾装置或者除尘器。放顶煤采煤工作面的放煤口，必须安装高压喷雾装置（喷雾压力不低于8MPa）或者采取压气喷雾降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3.井下运输</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（1）煤矿井下煤仓放煤口、溜煤眼放煤口以及地面带式输送机走廊必须安设喷雾装置或者除尘器，作业时进行喷雾降尘或者用除尘器除尘。煤仓放煤口、溜煤眼放煤口采用喷雾降尘时，喷雾压力不得低于8MPa。</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井工煤矿转载点应当采用自动喷雾降尘（喷雾压力应当大于0.7MPa）或者密闭尘源除尘器抽尘净化等措施。转载点落差超过0.5m时，必须安装溜槽或者导向板。装煤点下风侧20m内，必须设置一道自动控制风流净化水幕。运输巷道内应当设置自动控制风流净化水幕。</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（3）井下胶带运输应当在转载点采取水喷淋或密闭措施。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4.煤炭洗选</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（1）在破碎机处应当设置密封罩抽风防尘。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（2）对皮带机进行全封闭或安装水喷雾降尘设施。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（3）在皮带机的转载点设置溜槽或安装抽风除尘设施。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（4）对皮带走廊、栈桥、主厂房等粉尘危害较重的部位设置水力或气力清扫系统等。</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（5）储煤场四周应当安设抑尘网，装卸煤炭应当喷雾降尘或者洒水降尘，煤炭外运时应当采取密闭措施。</w:t>
      </w:r>
    </w:p>
    <w:p>
      <w:pPr>
        <w:pStyle w:val="5"/>
        <w:spacing w:before="0" w:after="0" w:line="360" w:lineRule="auto"/>
        <w:jc w:val="center"/>
        <w:rPr>
          <w:rFonts w:hint="eastAsia" w:ascii="仿宋_GB2312" w:hAnsi="仿宋_GB2312" w:eastAsia="仿宋_GB2312" w:cs="仿宋_GB2312"/>
          <w:color w:val="000000"/>
          <w:sz w:val="28"/>
          <w:szCs w:val="28"/>
        </w:rPr>
      </w:pPr>
      <w:bookmarkStart w:id="3" w:name="_Toc2130"/>
      <w:r>
        <w:rPr>
          <w:rFonts w:hint="eastAsia" w:ascii="仿宋_GB2312" w:hAnsi="仿宋_GB2312" w:eastAsia="仿宋_GB2312" w:cs="仿宋_GB2312"/>
          <w:color w:val="000000"/>
          <w:sz w:val="28"/>
          <w:szCs w:val="28"/>
        </w:rPr>
        <w:t>（二）非煤地下矿山</w:t>
      </w:r>
      <w:bookmarkEnd w:id="3"/>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地下矿山存在的主要粉尘有矽尘、铜尘、石膏粉尘、石墨粉尘、石棉粉尘、重晶石粉尘、云母粉尘、陶瓷粉尘、铝粉尘、混合性粉尘等。凿岩、装载、运输等重点环节粉尘治理主要工程技术措施要求如下：</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1.凿岩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（1）必须采用湿式凿岩，优先使用带空调驾驶室的机械化、自动化程度高、低噪声的凿岩设备。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（2）井下采取全面通风及工作面局部通风。</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2.装载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（1）优先使用机械化、自动化程度高的装载设备。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（2）装载前应当利用井下供水设施，对爆堆进行洒水。</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（3）井下采取全面通风及工作面局部通风。</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3.运输</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（1）井下胶带运输应当在转载点采取水喷淋抑尘或密闭措施。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（2）应当利用供水设施对井下运输道路进行洒水抑尘。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（3）井下运输巷应当采取全面通风。</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（4）带式输送机通廊应当设置洒水和排水装置，在工艺允许情况下，采取喷雾加湿措施。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（5）外运道路应当硬化，出入口位置配备车辆冲洗设施。车辆出门应当进行冲洗，大门口内必须设有门卫室、洗车槽、水枪、水池、沉淀池等。</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4.粗破（给料、粗破，对粗破设在井下破碎硐室的矿山）</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（1）优先采用自动化、密闭化、低噪声的设备。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（2）应当安装与破碎能力相适应的收尘装置，并设置抑尘喷淋装置。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（3）井下破碎硐室应当采取全面通风及局部通风。</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（4）破碎场所设置密闭带有隔声功能的控制室和休息室。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5.选矿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（1）破碎机及皮带转运处应当设有除尘器及洒水管路。</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（2）破碎机、返料皮带、振动筛及给料机应当密闭，粉尘逸散严重部位应当设置轴流风机。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（3）皮带机头尾部设置湿式抑尘装置。</w:t>
      </w:r>
    </w:p>
    <w:p>
      <w:pPr>
        <w:pStyle w:val="5"/>
        <w:spacing w:before="0" w:after="0" w:line="360" w:lineRule="auto"/>
        <w:jc w:val="center"/>
        <w:rPr>
          <w:rFonts w:hint="eastAsia" w:ascii="仿宋_GB2312" w:hAnsi="仿宋_GB2312" w:eastAsia="仿宋_GB2312" w:cs="仿宋_GB2312"/>
          <w:color w:val="000000"/>
          <w:sz w:val="28"/>
          <w:szCs w:val="28"/>
        </w:rPr>
      </w:pPr>
      <w:bookmarkStart w:id="4" w:name="_Toc31010"/>
      <w:r>
        <w:rPr>
          <w:rFonts w:hint="eastAsia" w:ascii="仿宋_GB2312" w:hAnsi="仿宋_GB2312" w:eastAsia="仿宋_GB2312" w:cs="仿宋_GB2312"/>
          <w:color w:val="000000"/>
          <w:sz w:val="28"/>
          <w:szCs w:val="28"/>
        </w:rPr>
        <w:t>（三）非煤露天矿山</w:t>
      </w:r>
      <w:bookmarkEnd w:id="4"/>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非煤露天矿山存在的主要粉尘有矽尘、铜尘、石灰石粉尘、大理石粉尘、白云石粉尘、石膏粉尘、石墨粉尘、石棉粉尘、滑石粉尘、膨润土粉尘、珍珠岩粉尘、蛭石粉尘、重晶石粉尘、云母粉尘、陶瓷粉尘、铝粉尘、混合性粉尘等。穿孔、装载、运输等重点环节粉尘治理主要工程技术措施要求如下：</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1.穿孔</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（1）必须采用湿式凿岩，优先使用带空调驾驶室的机械化、自动化程度高、低噪声的凿岩设备。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（2）深凹露天矿应当设置机械通风设施。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（3）深凹露天矿采掘设备的司机驾驶室，应当配备空气调节装置，不应开窗作业。</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（4）建筑装饰荒料开采切割，优先使用湿式切割机、带空调驾驶室的机械化、自动化程度高、低噪声的设备。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（5）干式穿孔设备必须配备捕尘装置。</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2.装载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（1）优先使用机械化、自动化程度高、带空调驾驶室的装载设备。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（2）装载前应当利用高位水池或洒水车对爆堆进行洒水。</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3.运输</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（1）汽车运输优先使用机械化、自动化程度高、带空调驾驶室的运输设备，胶带输送应当采取封闭措施。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（2）应当使用高位水池或洒水车对采场内运输道路进行洒水抑尘。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4.选矿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（1）破碎机及皮带转运处应当设有除尘器及洒水管路。</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（2）破碎机、返料皮带、振动筛及给料机应当密闭，粉尘逸散严重部位应当设置轴流风机。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（3）皮带机头尾部设置湿式抑尘装置。</w:t>
      </w:r>
    </w:p>
    <w:p>
      <w:pPr>
        <w:pStyle w:val="4"/>
        <w:spacing w:before="0" w:after="0" w:line="360" w:lineRule="auto"/>
        <w:jc w:val="center"/>
        <w:rPr>
          <w:rFonts w:hint="eastAsia" w:ascii="黑体" w:hAnsi="黑体" w:eastAsia="黑体" w:cs="黑体"/>
          <w:b w:val="0"/>
          <w:bCs/>
          <w:color w:val="000000"/>
          <w:sz w:val="28"/>
          <w:szCs w:val="28"/>
        </w:rPr>
      </w:pPr>
      <w:bookmarkStart w:id="5" w:name="_Toc6422"/>
      <w:r>
        <w:rPr>
          <w:rFonts w:hint="eastAsia" w:ascii="黑体" w:hAnsi="黑体" w:eastAsia="黑体" w:cs="黑体"/>
          <w:b w:val="0"/>
          <w:bCs/>
          <w:color w:val="000000"/>
          <w:sz w:val="28"/>
          <w:szCs w:val="28"/>
        </w:rPr>
        <w:t>二、金属冶炼</w:t>
      </w:r>
      <w:bookmarkEnd w:id="5"/>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金属冶炼主要包括黑色金属冶炼和有色金属冶炼，黑色金属冶炼主要含烧结、焦化、炼铁、炼钢等，有色金属冶炼主要包括火法冶炼和湿法冶炼等。冶炼过程产生的主要职业病危害因素有粉尘、一氧化碳、苯及其同系物、焦炉逸散物、沥青、硫化氢、砷化氢等。下面按照黑色金属和有色金属冶炼重点工序，提出了尘毒危害防治主要工程技术措施。</w:t>
      </w:r>
    </w:p>
    <w:p>
      <w:pPr>
        <w:pStyle w:val="5"/>
        <w:spacing w:before="0" w:after="0" w:line="360" w:lineRule="auto"/>
        <w:jc w:val="center"/>
        <w:rPr>
          <w:rFonts w:hint="eastAsia" w:ascii="仿宋_GB2312" w:hAnsi="仿宋_GB2312" w:eastAsia="仿宋_GB2312" w:cs="仿宋_GB2312"/>
          <w:color w:val="000000"/>
          <w:sz w:val="28"/>
          <w:szCs w:val="28"/>
        </w:rPr>
      </w:pPr>
      <w:bookmarkStart w:id="6" w:name="_Toc23867"/>
      <w:r>
        <w:rPr>
          <w:rFonts w:hint="eastAsia" w:ascii="仿宋_GB2312" w:hAnsi="仿宋_GB2312" w:eastAsia="仿宋_GB2312" w:cs="仿宋_GB2312"/>
          <w:color w:val="000000"/>
          <w:sz w:val="28"/>
          <w:szCs w:val="28"/>
        </w:rPr>
        <w:t>（一）黑色金属冶炼</w:t>
      </w:r>
      <w:bookmarkEnd w:id="6"/>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1.烧结</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（1）原料贮运。</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①原料的卸料机（翻车机）设置除尘设施，并确保除尘设施正常运行。</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②散装粉状辅料宜采用密闭性较好的集装箱(袋)、料罐车运输或气力输送到贮仓。袋装粉料的包装应当具有良好的密闭性和强度，拆包、倒包应当在有通风除尘设施的专用设备上进行。</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③原辅料应当分区存放，原料场应当设移动式喷水抑尘设施,露天原料贮存区宜设置防风抑尘网或者围墙，与其他生产区域隔离。</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④物料输送（含输送皮带）宜密闭，减少转运点和缩短输送距离，不宜采用人工或抓斗装卸，皮带通廊内宜设置岗位小间。</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⑤用于气力输送的管道应当具有良好气密性，其阀门及连接点等处应当设置防粉尘泄漏装置和检查孔装置。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⑥在原料、燃料及熔剂的卸料、破碎、筛分、带式输送机转载点等产生粉尘的场所(工序)，均应当设置防尘系统，原料转运点应当安装导料槽。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⑦原料送达的终点矿槽应予密闭，并设置防尘装置；各料槽顶部皮带小车的卸料口宜采用胶带密封；转运站、皮带通廊、矿槽顶层设置洒水栓，采取喷雾加湿措施。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⑧料仓捅料作业宜采取机械疏通方式。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⑨除尘器收集的粉尘采取密闭式输送。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⑩产尘区域应当采取湿式清扫，防止二次扬尘。 </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（2）配料与混合</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①配料室、配料矿槽、混合料矿槽应当设置通风除尘装置，矿槽周边区域应当采取湿式清扫，防止二次扬尘。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②防止矿尘外溢，粉料、湿料矿槽倾角不应小于65°，块矿矿槽不应小于50°。</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③配料圆盘与配料皮带输送机产尘点设密闭排风罩，皮带应当全程密闭。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④产尘区域应当采取湿式清扫，防止二次扬尘。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（3）烧结</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①烧结给料机和反射板设有机械式粉料清理和除尘装置。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②烧结机头上部应当设通风除尘系统,烧结机尾破碎机、环冷机应当设密闭抽风除尘装置;筛分机应当设密闭抽风装置并设除尘器;破碎机、台车翻转卸料处应当设密闭抽风除尘装置。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③点火装置设置空气、煤气比例调节装置、煤气低压自动切断装置、煤气紧急事故切断阀。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④烧结作业区应当保持良好通风，并设置一氧化碳监测报警装置，烧结机头点火及相关的煤气管道等应当采取有效的密封措施。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⑤烧结设备的运行控制与通风系统的运行实行联锁控制。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⑥烧结机厂房宜设封闭的控制室，厂房外新鲜空气能送到控制室内并形成微正压。</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⑦产尘区域地面应当采取湿式清扫或移动式真空除尘器，防止二次扬尘。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（4）球团</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①精矿干燥、煤粉制备、运输及喷煤、球团配料、混合、膨润土料棚、链篦机、成品球团矿堆场及成品装车矿槽等产尘点，在密闭基础上设除尘装置。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②球团煤气加热炉、精矿干燥、球团链篦机、回转窑点火器处作业区应当设置一氧化碳报警装置。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③煤气加热等工艺设备的运行控制与通风系统的运行实行联锁控制。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④产尘区域地面应当采取湿式清扫或移动式真空除尘器，防止二次扬尘。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2．焦化</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（1）备煤</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①贮煤场设有抑尘网或者围棚，设置喷水装置，备煤过程宜采用湿式作业。</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②翻车机、卷扬机、调车机、卸煤机等机械设备受煤时应当有防尘措施；堆取料机设置风速计。</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③原料煤的带式输送应当密闭，具有落差的皮带转运点应当安装通风除尘设备或采取湿式作业。</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④配煤、粉碎机室应当密闭，并设除尘装置。</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（2）炼焦</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①炼焦装置应当露天布置。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②装煤车与炉盖之间在装煤过程中应当安装通风除尘设备，采用自动化密闭操作，采用集气管自动调压炉门口集尘罩、装煤除尘二合一地面站及炉顶导烟装置,集气管操作台上部应当设清扫孔。</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③焦炉炉门与门框、看火孔、装煤孔盖与装煤孔座的接触面、上升管盖及其翻板轴头、桥管与水封承插部应当密封。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④湿法熄焦应当采取高塔排气,并在塔内设置捕集粉尘装置；干法熄焦时,应当设集尘净化系统；贮存、输送、转运时应当设密封装置,转运交接处应当设计除尘设施。除尘设备应同相应的工艺设备联锁。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⑤炉端台顶部应当设带有微正压的操作工人休息室。煤塔顶层除胶带通廊外，还应当另设一个出口，煤塔顶部宜设通风窗口。</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⑥地下室应当加强通风，并设自然通风孔和事故排风装置。采用高炉煤气、发生炉煤气、荒煤气加热的焦炉地下室，必须设置固定式一氧化碳检测及报警装置。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⑦交换机室或仪表室不应设在烟道上。焦炉测温换向岗位应当配备便携式有毒气体报警器和空气呼吸器。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⑧湿法熄焦粉焦沉淀池周围应当设置防护栏杆，水沟应当设置盖板;粉焦抓斗司机室宜设在旁侧或采用遥控操作方式。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⑨干熄焦装置整个系统应当严密，干熄焦排出装置区域应当通风良好，干熄焦排出装置的振动给料器及旋转密封阀周围，应当设置一氧化碳和氧气浓度的检测、声光报警装置；干熄焦排出装置的排焦溜槽及运焦带式输送机位于地下时，排焦溜槽周围及运焦通廊的地下部分，应当设置一氧化碳和氧气浓度的检测、声光报警装置，并设事故排风装置。干熄焦装置最高处，应当设置风向仪和风速计。干熄焦气体循环系统的锅炉应当安装二级除尘器。干熄焦装置应当设置循环气体成分自动分析仪，对一氧化碳、氢和氧含量进行分析记录。</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⑩皮带运焦过程中具有落差的皮带交接处应当安装通风除尘设备或采取湿式作业。装煤车、拦焦车、捣固推焦车的操作室必须采取专门密封措施防尘。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（3）煤气净化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①应当采用 DCS 控制系统进行自动化生产和操作，实现远距离控制。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②煤气净化车间鼓风机房应当设置事故排风装置及与其联锁的自动报警装置。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③有粉尘、挥发性溶剂逸出的设备开口部位应当设排风装置。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④焦炉煤气管道应当设置自动低压报警及自动切断煤气装置。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⑤鼓风机室应当有直通室外的走梯，底层出口不应少于两个。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⑥电捕焦油器应当设置连续式自动氧含量分析仪，并与电捕焦油器电源联锁。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⑦硫酸高置槽应当设液位的高位报警、联锁及满流管，满流管满流能力应当大于进料能力；槽下方应当设置围堰。</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⑧间接法硫铵生产中，满流槽、回流槽、稠化器等产生尾气设施的装置应当盖严，防止酸气外逸。</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⑨浓硫酸输送应当采用泵送或自流方式，禁止使用压缩气体输送;禁止使用蒸汽吹扫浓硫酸设备及管道。用浓硫酸配硫铵母液时，应当设置控制调节流量装置。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⑩回收车间应当安装通风、排毒设施。克劳斯法硫磺(含氨分解)及湿接触法硫酸生产时，作业场所应当设置喷淋洗眼器。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（4）粗苯加工</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①应当采用 DCS 控制系统进行自动化生产和操作。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②粗苯中间槽设高位报警装置；粗苯储槽应当密封，并安装排气控制措施。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③苯蒸馏泵房、精苯洗涤厂房、吡啶生产厂房、室内库房和泵房应当设置事故排风装置。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④精制车间应当安装通风、排毒设施。热包装仓库应当设机械通风装置，热包装出口处应当设局部排风设施。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⑤精苯槽罐区宜设高度不低于2.2m的围堰，围堰内场地排污口应当留设阀门；主装置区也应当设置0.5m高的围堰及排污阀门。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⑥粗苯加氢主装置区及槽罐区，应当按GBZ/T 223的要求设有有毒有害气体自动监测报警装置。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⑦精苯生产区域，不应布置化验室、维修间和生活室等辅助建筑。</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（5）焦油加工与回收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①焦油车间应当设置通风、排毒设施。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②焦油蒸馏应当设事故放空槽，并经常保持空槽状态。焦油蒸馏装置区应当设置不低于150mm的围堰。</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③凡可能散发沥青烟气的地点，均应当设烟气捕集净化装置。不宜采用人工包装沥青。</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④萘、蒽的结晶制片包装及输送宜实现机械化，切片系统应当设置尾气捕集装置,包装制品封口处宜设置除尘设施。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⑤酚、吡啶产品装桶处应当设抽风装置；生产现场应当设置喷淋设施。酚盐生产中二氧化碳分解装置中各设备的含酚排气，应当设置专用排气净化装置。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⑥酸槽应当集中布置，并设置防酸外溢和防泄漏的围堰，作业场所应当设置喷淋洗眼器。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⑦苛化装置中各粉尘物料输入装置，应当设有过滤设备。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⑧沥青高置槽应当有事故收集围堰。焦油渣、酸焦油及生化污泥等固体废弃物应当集中送往煤场配煤。</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⑨作业场所应当配置应急药箱。</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（6）废水处理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①废水处理站宜采用多层立体布置；污水物化处理和生化处理的核心设施应当符合GB 50432的规定，应当配置不少于两个独立的系列，并设置防毒设施。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②酚氰废水处理应当设置防毒设施。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③作业场所应当设置喷淋洗眼器。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3.炼铁</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（1）原料上料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①原料堆场及堆取料机头应当设喷水抑尘装置；皮带输送机和皮带廊宜密闭，在皮带通廊、转运站平台、原燃料堆场地面等处应当设置负压清扫设施或水冲洗和喷、洒水抑尘、冲洗地面措施。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②矿焦槽卸料口、称量漏斗、皮带转运站、皮带落料点、矿槽振动筛、煤粉制备、给料器、炉顶上料口等产生粉尘的工作地点应当设置抽风设施,采用集中或单独除尘系统。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③煤粉制备的煤磨、煤粉喷吹作业场所保持良好通风，煤磨、煤粉仓、煤粉喷吹、炉顶作业场所设置固定式一氧化碳检测报警仪。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（2）高炉</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高炉密封罩应当严密，罩内气流保持负压；密封罩应当设弹性材料制作的遮尘帘，密封罩宜避免直接连接振动和往复运动的设备。密封罩应当设置必要的操作孔、检修门和观察孔，操作孔、检修门应当避开气流速度较高的地点。</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煤气管道应当设置自动低压报警及自动切断煤气装置；煤气清洗系统供水管道上应当设置低压报警装置。现场可能逸散一氧化碳的地点，设置固定式一氧化碳检测报警仪，为现场作业人员配备便携式一氧化碳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③在热修平台上应当设置移动喷雾风扇；给热罐中的操作人员设置局部降温冷却送风系统，送风口应当对准热罐中心，并能够按需要设置转动风口，以满足局部送风要求。</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④高炉区附近的公辅设施建筑物室内设置正压送风装置，室外新风应当经过滤器处理后送入室内，以保证室内有良好的洁净度。</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⑤作业现场设置带空调、且具有隔声功能的微正压休息室或操作室。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（3）炉前平台（出铁场）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①高炉出铁场铁沟、铁罐等处设置密封罩和除尘吸风一次除尘装置；在铁水口处设置二次除尘系统。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②出铁口、主铁沟、铁口换气、撇渣器、摆动流嘴、渣沟等产尘处应当设置密闭式吸风罩。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③在出铁场应当设置隔热挡板,铁沟、渣沟加封盖板并及时维护。</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④铁沟、渣沟及水冲渣沟 ,应当设活动封盖,渣沟和渣罐上面应当设排烟罩；在沟下、出铁场等处应当设置负压清扫设施或采用湿式抑尘措施。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⑤炉顶装料设备、风口、渣口、水套等均应当严格密封，防止煤气泄漏；高炉水冲渣应当设置通风排毒设施。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⑥对可能发生煤气泄漏的场所设固定式一氧化碳检测报警仪和机械通风换气设施,并在不同位置设置两个疏散口。</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⑦现场设置带空调、且具有隔声功能的微正压休息室或操作室。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（4）电除尘放灰平台</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①高炉煤气余压透平发电装置主机平台的隔声罩内应当设一氧化碳浓度检测声光报警仪；轴承处应当设氮气密封装置，并设置氮气低压声光报警信号或禁止透平启动装置。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②现场可能发生煤气泄漏的工作场所，应当设置固定式一氧化碳检测报警仪。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③放出的灰尘应当采用密封车辆或专用容器运送。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④地面宜采取负压清扫设施或水冲洗和喷洒水抑尘措施。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（5）其他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①铸铁机车间主要操作室及工作间，应当设置通风除尘设施。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②铸铁机操作室应当设置空调及通讯、信号装置。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③碾泥机室应当设置通风除尘设施；使用焦油和树脂做炮泥胶粘剂时,卸料点应当设置抽风净化设施，粉状原料应当采用密封槽车或专用容器运送。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④铁水罐修理库的烘烤铁罐厂房应当设自然通风，屋顶应当设天窗，并应当防止穿堂风将烟尘吹到其他作业区。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⑤氧气站应当设置必要的应急通风设施。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⑥单独机电维检间应当设自然通风，焊接点宜设置固定或移动式除尘设施。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4.炼钢</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（1）原料上料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①优先使用优质含尘少的炼钢熔剂，比如粒度符合要求的石灰、增碳剂、萤石、造渣剂等。</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②采用机械化、自动化控制上料系统，电机振打装置应当保证良好，布袋收集的熔剂粉料通过自动振打自动落入皮带运输系统；物料输送跌落点应当设集尘罩和除尘器，仓顶部外侧防尘门帘应当完好。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③破碎机、筛分机宜采用整体密闭。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④高位料仓向转炉熔池放料时，连接部位的布袋应当密封良好无破损，逸散的粉尘由通风吸尘口吸走进入转炉二次除尘系统收集。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⑤脱硫、扒渣等可能发生煤气泄漏、聚集的场所，应当设置固定式一氧化碳检测报警仪，并设置通风换气系统。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⑥通风管道应当设置清灰孔，除尘器出入口应当设闸板阀及测试孔。</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⑦在转炉平台3-8层、皮带通廊、转运卸料处及地下受料仓槽等应当设置负压清扫设施或进行湿式抑尘，1-2层应当设置清扫车或人工清扫。</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（2）铁水倒罐</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①铁水倒罐作业场所应当保持空气流通。</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②铁水倒罐设置布袋除尘系统或静电除尘系统，收集罩应当按照工位配备蝶阀控制风量。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③通风管道应当设置清灰孔，除尘器出入口应当设闸板阀及测试孔。</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④除尘收集的粉尘卸、输灰宜采用机械输送或气力输送，并进行综合利用防治二次扬尘。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⑤作业平台设置负压清扫设施或湿式抑尘措施。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⑥作业现场设置带空调、具有隔声功能的休息室或操作室。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（3）铁水预处理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①预处理作业场所保持空气流通。</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②铁水脱硫工位顶部应当设置粉尘收集罩，并设置除尘系统；粉尘收集系统应当设置自动蝶阀控制系统，调节控制风量，让烟气顺利进入除尘系统。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③脱硫除尘装置卸、输灰宜采用机械输送或气力输送，除尘收集的粉尘进行综合利用并防止二次扬尘。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④作业平台应当设置湿式除尘或负压清扫设施。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⑤出入口和作业现场应当设置固定式一氧化碳检测报警仪。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⑥现场设置带空调、具有隔声功能的休息室或操作室。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（4）炼钢转炉平台</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①厂房要充分采用自然通风,设足够面积的通风天窗。</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②设置炼钢转炉一次除尘系统和转炉二次除尘系统，并保持运行良好，转炉外侧的顶部防扩散门帘应当保持完好。加废钢操作和兑铁水操作应当设置抽风除尘系统，控制烟气烟尘的无组织排放。</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③炼钢电炉门应当保持密闭，提高加料、兑铁水等操作时烟气捕集效率，减少无组织排放。</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④炼钢电炉四孔下方应当设置燃烧沉降室将一氧化碳充分燃烧。VOD炉装置的真空泵水封池应当采取可靠的密闭措施,并设放散管将一氧化碳引至厂房顶外。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⑤转炉一次烟气应当设置煤气净化系统，二次烟气应当设置抽风除尘系统。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⑥煤气危险区(如转炉煤气加压机房、煤气柜活塞上部、转炉煤气回收系统风机后及风机房等)、人员作业出入口应当设固定式一氧化碳检测报警仪。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⑦作业平台设置负压清扫设施或湿式抑尘措施。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⑧现场设置带空调、具有隔声功能的休息室或操作室。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（5）钢水精炼</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①厂房要充分采用自然通风 ,设足够面积的通风天窗。</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②钢包精炼炉（LF炉、RH炉）、钢包吹氩站设置通风除尘系统并保持良好运行。每个工位应当设置粉尘收集罩并安装自动蝶阀予以控制，保证有效吸力收集粉尘。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③吸风口应当定时清理废钢废渣，采用袋式除尘器或静电除尘器，保持通风管道畅通，提高除尘系统吸力，提高粉尘捕集效率。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④出入口和作业现场设置固定式一氧化碳检测报警仪。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⑤作业平台设置负压清扫设施或采用湿式抑尘措施。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⑥现场设置内设空调、具有隔声功能的休息室或操作室。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（6）连铸</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①连铸钢包作业、中间罐倾翻作业平台应当设除尘装置。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②连铸机的结晶器、火焰切割与火焰清理机的烟尘,应当设通风除尘装置。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③作业平台应当设置负压清扫设施或采取湿式抑尘措施。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④车间出入口和整备机、火焰切割场所，应当设置一氧化碳报警装置，并通风换气。</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⑤现场设置内设空调、具有隔声功能的休息室或操作室。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5.轧钢</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（1）热轧</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①在热轧加热炉位置设置排气罩，及时将有害气体引至脱硝系统。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②在热轧加热炉旁设置固定式一氧化碳报警仪。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③在热轧粗轧段、精轧段设置除尘器。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④在热轧板卷取处采用自动喷码技术。</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⑤在热轧车间设置机械通风和自然通风相结合的通风系统。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⑥现场设置内设空调、具有隔声功能的休息室或操作室。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（2）冷轧</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①冷轧酸洗槽宜采用水封式结构进行密封，并在酸洗段设立酸雾吸收装置。</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②酸轧作业区入口活套设置除尘系统。</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③在可能产生油雾的五机架连轧机、连退平整机、镀锌光整机等区域和可能产生碱雾的连退清洗段、镀锌清洗段等区域分别设置排风系统。</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④罩式炉、退火炉等燃烧炉设置排气系统，其燃烧烟气排出室外。</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⑤在镀锌生产线的锌锅上方设置排风罩，及时排出热量和逸散的毒物。</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⑥在钢卷开卷焊接处设置除尘罩，及时排出焊接产生的烟尘和毒物。</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⑦酸再生站氧化铁的投料和下料口设置除尘系统。</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⑧现场应当设置内设空调、具有隔声功能的休息室或操作室。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6.公用工程</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（1）煤气站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①煤气发生炉在煤粉投料口和煤渣下料口设置除尘器。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②煤气净化和加压站应当设置一氧化碳报警装置。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③煤气的隔断装置盲板、眼镜阀、扇形阀或敞开式插板阀等不应安装在厂房内或通风不良处。水封装置应当有能够检查水封高度和水位溢流的排水口。</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（2）水处理系统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①除盐水站、污水处理站等存在酸、碱、氨等腐蚀性物质的工作场所应当设喷淋洗眼装置和急救药箱。</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②在液氨或氨水储存间设置氨报警装置。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③给水站加氯间、除盐水站酸碱间、空压机间、电气室电缆层应当设机械通风，通风换气次数不少于12次/时。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④污水处理间应当采用自然通风与机械通风相结合的方式进行通风。</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（3）检维修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①设备检修、维护中涉及地下管道、烟道、密闭地下室、槽车、罐类等密闭空间作业时、清淤泥作业时应当通风、测氧、测爆、测毒。</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②焊接宜采取固定或者移动式烟气收集装置，砂轮打磨设备设置接受式吸尘罩。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③皮带粘接作业应当采用无毒或低毒粘结剂，并设置局部通风排毒罩。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④维修厂房设置机械通风和自然通风相结合的通风系统。</w:t>
      </w:r>
    </w:p>
    <w:p>
      <w:pPr>
        <w:pStyle w:val="5"/>
        <w:spacing w:before="0" w:after="0" w:line="360" w:lineRule="auto"/>
        <w:jc w:val="center"/>
        <w:rPr>
          <w:rFonts w:hint="eastAsia" w:ascii="仿宋_GB2312" w:hAnsi="仿宋_GB2312" w:eastAsia="仿宋_GB2312" w:cs="仿宋_GB2312"/>
          <w:color w:val="000000"/>
          <w:sz w:val="28"/>
          <w:szCs w:val="28"/>
        </w:rPr>
      </w:pPr>
      <w:bookmarkStart w:id="7" w:name="_Toc29498"/>
      <w:r>
        <w:rPr>
          <w:rFonts w:hint="eastAsia" w:ascii="仿宋_GB2312" w:hAnsi="仿宋_GB2312" w:eastAsia="仿宋_GB2312" w:cs="仿宋_GB2312"/>
          <w:color w:val="000000"/>
          <w:sz w:val="28"/>
          <w:szCs w:val="28"/>
        </w:rPr>
        <w:t>（二）有色金属冶炼</w:t>
      </w:r>
      <w:bookmarkEnd w:id="7"/>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1.火法冶炼</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（1）备（配）料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原料输送宜采用密闭化、机械化、自动化程度高的物料输送设备，凡有扬尘的转运点应当设局部通风除尘装置，并宜减少转运点和降低物料落差；采用气力输送原辅材料时，受料仓应当设仓顶袋式收尘器或相应的收尘设备；禁止采用人工或抓斗装卸。</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②破碎、给料、振动等产尘设备应当密闭，并设置通风除尘装置。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③在易产生毒物或易燃易爆粉尘的相应位置设置通风除尘排毒装置和连锁报警装置。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④露天料场应当设置逸尘围挡，并设置固定或移动式喷水、喷雾装置。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⑤原料仓库采用自然通风和局部排风相结合，产尘点宜设置局部通风除尘装置，并应当防止塌料和粉尘外逸；铝冶炼企业氟化盐、氧化铝在贮存与运输过程中必须有可靠的防水、防散漏措施。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⑥库房地面、墙壁应当平整光滑；清扫作业应当采取湿式或使用负压工业吸尘器等设施。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⑦作业现场应当设密闭防尘毒的控制室或员工值班室。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（2）冶炼（粗炼）</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①采用机械化、自动化控制加料，物料输送宜采取管道正压输送或密闭埋刮板输送机输送，加料口应当安装排烟罩和净化装置，加料口应当采用气封，并保持负压状态，防止烟尘外逸，避免人工直接操作。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②冶炼金属出口、出渣口等产生烟尘点应当设置固定式密闭排烟罩，活动溜槽等放散烟气的部位可设置移动排烟罩，并安装净化装置，出金属沟、渣沟应当密闭。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③对可能产生二氧化硫、一氧化碳等有毒有害气体的场所应当设置固定式有毒有害气体检测报警仪或配备便携式有毒有害气体检测报警仪。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烧结块、杂料、焦炭等的给料机和计量装置及料罐给料处，焦炭、原煤筛分转运处等应当设置排风罩，并采取净化措施；鼓风烧结机和点火炉应当设密闭装置，机尾应当采用局部排风罩，鼓风烧结机尾部的齿辊破碎机及链板输送机转运处，应当设置密闭罩，并采取通风净化措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⑤鼓风炉和烟化炉水淬池冲渣入口上方应当设置排风罩和净化装置；渣包倾渣点应当设置排风罩和净化装置；浮渣破碎点应当设置密闭罩和净化装置。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⑥铅锌冶炼密闭鼓风炉冷凝器铅泵池上方、溶剂槽、分离槽、贮锌槽等工作门上方及冷却槽出料口等放散烟尘的位置，应当设置排风罩和净化装置。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⑦烟化炉作业场所应当设机械通风装置，烟化炉加料口宜采用侧吸罩。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⑧凡吊运熔融金属、高温渣的桥式吊车司机室，均应当安装空调与空气净化装置。</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（3）精炼</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①进料应当采用自动化控制，加料口应当安装排烟罩和净化装置，加料口应当采用气封，并保持负压状态，防止烟尘外逸，避免人工直接操作。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②物料输送采取管道浓相泵正压输送或密闭埋刮板输送机输送，对主产尘区域应当采用新型脉冲滤袋除尘器，减少粉尘扩散。</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作业场所产生烟气点安装局部通风排毒设备，减少二氧化硫的外逸和积聚，其它不含硫烟气送至尾气烟囱排放；冶炼金属出口、出渣口等产生烟尘点应当设置固定式密闭排烟罩，活动溜槽等放散烟气的部位可设置移动式排烟罩，并均安装净化装置，出金属沟、渣沟均应当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向熔炼炉加入粉料、碎料的工艺环节，应当采取抑制粉尘逸散措施。铅锡冶炼反射炉加料、放铅、放渣溜槽处应当设置通风除尘净化装置；熔铅锅和反射炉作业的桥式吊车司机室，均应当安装空调与空气净化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⑤熔金属锅和浇铸机应当设置密闭排风罩或吹吸式通风除尘净化装置。熔铅作业操作应当尽量减少操作人员在锅台的操作时间。</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⑥对可能产生二氧化硫、一氧化碳等有毒有害气体的场所设置固定式有毒有害气体检测报警仪或配备便携式有毒有害气体检测报警仪。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（4）铝冶炼</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①采用机械化、自动化控制氧化铝和氟化盐加料，加料、运输设备、加料箱、料仓等产生粉尘的场所均应当安装除尘净化装置，并避免人工直接操作。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②铝冶炼作业场所保持良好通风，采用机械化、密闭化、自动化工艺与设备和全密闭预焙槽。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③电解槽应当密闭，并设置观察孔；自焙槽阳极顶部应当加防尘盖，电解槽烟气和阳极焙烧烟气应当进行净化处理。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④电解作业场所设置有毒有害气体检测报警仪。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⑤配置清除电解槽和设备上积尘的负压吸尘器，禁止采用压缩空气喷吹。</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⑥清理阳极棒、阴极棒宜采用机械化的喷丸设备，喷丸设备应当设置独立密闭作业间，作业人员在室外操作。</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2.湿法冶炼</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（1）电解车间采用自然通风和局部排风相结合，并采用机械化、自动化，避免直接人工操作，电解车间厂房应当设置全面通风换气装置。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（2）设备和管道应当采取有效的密闭措施，可能产生或存在毒物或酸碱等强腐蚀性物质的工作场所应当设置喷淋洗眼器、应急撤离通道、必要的泄险区。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（3）含有有害气体、蒸气的各类管道不宜从仪表控制室和劳动者经常停留或通过的辅助用室的空中或地下通过；若需要通过时，应当严格密闭，并具有抗压、耐腐蚀等性能，以防止有害气体或蒸气逸散至室内。</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（4）电解残渣（阳极泥、碎渣）暂时库存时应当设专门容器存放或相对封闭的场所堆放，不得露天堆放，防止流失和逸散。</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（5）制造硅氟酸及硅氟酸铅的设备应当加盖密封，生产车间应当设置排风装置，并配置酸气净化装置。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（6）使用大量酸的铜、锌、铅等电解槽，应当采取自动配酸系统；金等电解使用酸量不大的工艺，应当设置配酸专用通风柜。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（7）电解槽池上宜加密封盖或密封膜；贵金属银电解槽应当设置槽边排风口，金电解槽宜采取密闭罩。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（8）工作场所墙壁、顶棚和地面等内部结构和表面应当采用耐腐蚀、不吸收、不吸附毒物的材料，必要时加设保护层；车间地面应当平整光滑，易于冲洗清扫。</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（9）对可能产生砷化氢、硫化氢等有毒有害气体的场所应当设置固定式有毒有害气体检测报警仪或配备便携式有毒有害气体检测报警仪。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（10）酸作业区应当设置喷淋洗眼器和急救药箱。</w:t>
      </w:r>
    </w:p>
    <w:p>
      <w:pPr>
        <w:pStyle w:val="4"/>
        <w:spacing w:before="0" w:after="0" w:line="360" w:lineRule="auto"/>
        <w:jc w:val="center"/>
        <w:rPr>
          <w:rFonts w:hint="eastAsia" w:ascii="黑体" w:hAnsi="黑体" w:eastAsia="黑体" w:cs="黑体"/>
          <w:b w:val="0"/>
          <w:bCs/>
          <w:color w:val="000000"/>
          <w:sz w:val="28"/>
          <w:szCs w:val="28"/>
        </w:rPr>
      </w:pPr>
      <w:bookmarkStart w:id="8" w:name="_Toc24230"/>
      <w:r>
        <w:rPr>
          <w:rFonts w:hint="eastAsia" w:ascii="黑体" w:hAnsi="黑体" w:eastAsia="黑体" w:cs="黑体"/>
          <w:b w:val="0"/>
          <w:bCs/>
          <w:color w:val="000000"/>
          <w:sz w:val="28"/>
          <w:szCs w:val="28"/>
        </w:rPr>
        <w:t>三、石油化工行业</w:t>
      </w:r>
      <w:bookmarkEnd w:id="8"/>
    </w:p>
    <w:p>
      <w:pPr>
        <w:pStyle w:val="5"/>
        <w:spacing w:before="0" w:after="0" w:line="360" w:lineRule="auto"/>
        <w:jc w:val="center"/>
        <w:rPr>
          <w:rFonts w:hint="eastAsia" w:ascii="仿宋_GB2312" w:hAnsi="仿宋_GB2312" w:eastAsia="仿宋_GB2312" w:cs="仿宋_GB2312"/>
          <w:color w:val="000000"/>
          <w:sz w:val="28"/>
          <w:szCs w:val="28"/>
        </w:rPr>
      </w:pPr>
      <w:bookmarkStart w:id="9" w:name="_Toc22041"/>
      <w:r>
        <w:rPr>
          <w:rFonts w:hint="eastAsia" w:ascii="仿宋_GB2312" w:hAnsi="仿宋_GB2312" w:eastAsia="仿宋_GB2312" w:cs="仿宋_GB2312"/>
          <w:color w:val="000000"/>
          <w:sz w:val="28"/>
          <w:szCs w:val="28"/>
        </w:rPr>
        <w:t>（一）炼油部分</w:t>
      </w:r>
      <w:bookmarkEnd w:id="9"/>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1.常减压装置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（1）优先选择注氨替代工艺，联合设置轻烃回收装置进行轻组分回收，外排含烃气体可送至油气回收装置。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（2）可能存在含硫化氢物料的原油泵、初馏塔、常压塔、常顶回流罐、减压塔、减顶回流罐、减顶瓦斯罐、空冷器、换热器、低分气压缩机等使用耐腐蚀、耐高温的设备或管线。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（3）采用自动化加氨工艺，加氨间设置通风设施。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（5）含硫化氢、氨等可燃及有毒介质物料采用密闭取样系统。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（6）在原油泵、电脱盐罐、初馏塔、初馏塔回流罐等可能发生含硫化氢物料泄漏区域设置固定式硫化氢报警仪。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（7）注氨区域及其他可能含氨物料泄漏区域设置固定式氨报警仪。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（8）氨罐、氨泵附近应当设置喷淋洗眼器，氨罐设置氨吸收器。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（9）应当遵循无毒物质代替有毒物质，低毒物质代替高毒物质的原则，选用无毒、低毒助剂，助剂宜选用自动密闭添加方式，助剂添加区域应当设置喷淋洗眼器。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2.催化裂化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（1）催化剂添加系统优先选用密闭料仓及泵输的自动添加方式。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（2）催化剂加、卸口应当设置通风除尘设施，配备可移动式地面吸尘器等防止二次扬尘的清扫设施。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（3）可能存在含硫化氢物料的原料油系统、提升管反应器、分馏系统、稳定吸收系统、气压机、脱硫脱硫醇系统等使用耐腐蚀、耐高温的设备或管线。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（4）在原料油系统、提升管反应器、分馏系统、稳定吸收系统、气压机、脱硫脱硫醇系统等可能发生含硫化氢物料泄漏区域设置固定式硫化氢报警仪，含硫化氢物料采用密闭采样系统，设置密闭循环采样器。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（6）原料油缓冲罐、原料油泵、提升管反应器等采用密闭化、机械化设备。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（7）在烟机、催化剂再生器、烟气锅炉等可能发生一氧化碳泄漏区域设置固定式一氧化碳报警仪。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（8）氢氧化钠添加应当采用密闭操作，氢氧化钠储罐区、汽油脱硫区应当设置喷淋洗眼器。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（9）钝化剂贮存及添加优先采用自动化的投加工艺。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（10）臭氧发生器平台或可能发生臭氧泄漏区域设置固定式臭氧报警仪。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3.延迟焦化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（1）应当采用水力切焦工艺；除焦池可设置密封盖板，外排气体集中处理。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（2）输送石油焦宜采用自动化、机械化、密闭化输送工艺，并设置可移动式地面吸尘设施。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（3）压缩机入口分液罐、离心压缩机、饱和吸收油冷却器、吸收塔入口分液罐、吸收塔、稳定塔等可能存在含硫化氢物料的使用耐腐蚀、耐高温的设备或管线。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（4）可能发生含硫化氢物料泄漏区域应当设置固定式硫化氢报警仪，含硫化氢物料采样系统应当设置密闭采样器，无法实现密闭采样的粉料或粘稠物料采样时采取有效个体防护。</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（6）可能发生含氨物料泄漏区域应当设置固定式氨报警仪，含氨物料采样系统应当设置密闭采样器，无法实现密闭采样的粉料或粘稠物料采样时应当采取有效个体防护。</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4.加氢裂化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（1）含硫污水输送至酸性水汽提，富胺液输送至溶剂再生，外排含烃气体可送至油气回收装置。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一段加氢反应器、二段加氢反应器、热高分罐、热低分罐、冷高分罐、冷低分罐；富胺罐及机泵塔顶回流罐及相应的机泵、循环氢压缩机、含硫污水罐、含硫污水泵等可能存在含硫化氢物料的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一段、二段加氢反应器、富胺罐及机泵、循环氢脱硫塔、脱硫化氢汽提塔、石脑油稳定塔、循环氢压缩机、含硫污水罐等可能发生含硫化氢物料泄漏区域应当设置固定式硫化氢报警仪，含硫化氢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采用自动加氨工艺，氨罐及机泵、循环氢脱硫塔吸收脱吸塔、石脑油稳定塔、塔顶回流罐及相应的机泵、循环氢压缩机等可能发生含氨物料泄漏区域应当设置固定式氨报警仪、喷淋洗眼器，含氨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（5）循环氢压缩机区域应当设置通风设施。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（6）硫化区域及胺储罐区域设置喷淋洗眼器。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（7）含硫化氢污水、含油污水密闭处理。</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5.连续重整</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（1）催化剂添加系统应当优先选用密闭料仓及泵输的自动添加方式。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（2）催化剂加、卸料口应当设置通风除尘设施，配备可移动式地面吸尘器等防止二次扬尘的清扫设施。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（3）原料加氢预处理单元存在含硫化氢物料的加氢反应器、反应产物分离器、汽提塔顶回流罐、压缩机等使用耐腐蚀、耐高温的设备或管线。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（5）在加氢换热区、塔顶空冷区、压缩机区、泵区等可能发生含硫化氢物料泄漏区域应当设置固定式硫化氢报警仪，含硫化氢物料采样系统应当设置密闭采样器。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（6）反应器、分离器、液化气泵、液化气采样口等可能发生液化石油气泄漏的位置设置固定式可燃气体报警仪。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重整反应器、换热器、脱戊烷塔、重整产物空冷器、重整产物分离罐、重整地下污油罐、再接触罐等处生产过程密闭化、自动化；存在可能发生苯泄漏区域应当设置固定式苯报警仪，含苯物料采用密闭采样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（8）在注氯罐、注氯泵、注硫泵、碱液泵、碱液冷却器、再生放空气洗涤塔、注碱罐等可能存在四氯乙烯、二甲基二硫、氢氧化钠等物质的区域设置喷淋洗眼器。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（9）氨罐、氨压缩机等处采用自动化、密闭化的生产工艺，氨罐、氨压机附近设置喷淋洗眼器，在有可能泄漏氨的位置设置固定式氨检测报警仪。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6.汽油吸附脱硫</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（1）吸附剂添加系统应当优先选择密闭料仓及泵输的自动添加方式。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（2）吸附剂加、卸料口应当设置通风除尘设施，配备可移动式地面吸尘器等防止二次扬尘的清扫设施。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（4）脱硫反应器、吸附剂再生器、再生接收器、再生烟气冷却器、再生烟气过滤器、换热器等含二氧化硫介质的生产设备应当密闭，在碱罐和装卸区设置喷淋洗眼器。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（5）存在含硫化氢物料的分液罐、回流罐、污水系统等使用耐腐蚀、耐高温的设备或管线。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（6）存在可能发生含硫化氢物料泄漏区域应当设置固定式硫化氢报警仪、喷淋洗眼器，含硫化氢物料采样系统应当设置密闭采样器。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7.溶剂脱沥青</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（1）存在含硫化氢物料的原料泵、ROSE装置进料罐、进料泵、沥青分离塔、ROSE换热器、DAO－富剂换热器、DAO分离塔预热器、DAO分离塔、DAO闪蒸罐、DAO汽提塔、DAO汽提塔加热器等使用耐腐蚀、耐高温的设备或管线。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（3）可能发生含硫化氢物料泄漏区域应当设置固定式硫化氢报警仪，含硫化氢物料采样系统应当设置密闭采样器。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（4）装置区设置喷淋洗眼器。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8.制氢装置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（1）在转化器、中变反应区域等存在可能发生一氧化碳泄漏区域应当设置固定式一氧化碳报警仪，含一氧化碳物料采样系统应当设置密闭采样器。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（2）存在含硫化氢物料的加氢反应器等使用耐腐蚀、耐高温的设备或管线。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（3）含硫化氢污水密闭处理。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（4）可能发生含硫化氢物料泄漏区域应当设置固定式硫化氢报警仪，含硫化氢物料采样系统应当设置密闭采样器。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9.硫磺回收装置</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（1）液硫池密封，加装抽气设施，外排气体集中净化处理。</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（2）硫磺成型包装厂房应当设置通风设施，采用自动化、密闭化程度高的包装设备，包装下料口设置负压通风除尘设施。</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存在含硫化氢物料的酸性气分液罐、酸性气燃烧炉、转化器、硫冷凝器、加氢反应器、急冷塔、吸收塔、再生塔、塔顶回流罐及其相连接的管线、机泵、液硫池、液硫成型包装线等使用耐腐蚀、耐高温的设备或管线。</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（4）含硫化氢污水密闭处理。</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（5）可能发生含硫化氢物料泄漏区域应当设置固定式硫化氢报警仪，含硫化氢物料采样系统应当设置密闭采样器。</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（6）酸性气燃烧炉、转换器、硫冷凝器、加氢反应器、尾气焚烧炉、液硫池、液硫成型包装线等可能含有二氧化硫介质的生产设备应当密闭，在可能泄露的区域配备淋浴和洗眼设备。</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（7）在吸收塔、再生塔、贫胺液泵、富胺液泵等可能含有N-甲基-二乙醇胺的生产设备应当采用自动化工艺，在可能泄漏的区域应当设置喷淋洗眼器。</w:t>
      </w:r>
    </w:p>
    <w:p>
      <w:pPr>
        <w:adjustRightInd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（8）硫磺成型包装区域应当配备喷淋洗眼器。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10.酸性水汽提、溶剂再生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（1）存在含硫化氢物料的酸性水泵、酸性水脱气罐、酸性水汽提塔及塔顶回流罐、富液闪蒸罐底及其管线、机泵、溶剂再生塔及其塔顶回流罐、富胺液泵等使用耐腐蚀、耐高温的设备或管线。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（2）含硫化氢污水、含油污水密闭处理。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（3）可能发生含硫化氢物料泄漏区域应当设置固定式硫化氢报警仪，含硫化氢物料采样系统应当设置密闭采样器。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（4）酸性水泵、酸性水脱气罐、酸性水汽提塔及塔顶回流罐等采用自动化、密闭化生产工艺，含氨物料采样系统应当设置密闭采样器，在可能发生含氨物料泄漏区域应当设置固定式氨报警仪与喷淋洗眼器。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11.碱渣处理装置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（1）碱渣处理设置室内压滤时应当设置通风设施，设置固定式硫化氢报警仪、喷淋洗眼器。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（2）滤饼运输区域设置可移动式地面吸尘设施及时清理地面。</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12.加氢装置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加氢反应器，热高、热低、冷高、冷低分离区、富胺液罐及相连接机泵、循环气脱硫塔、循环氢压缩机、含硫污水罐及输送泵等可能发生含硫化氢物料泄漏区域设置固定式硫化氢报警仪，含硫化氢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（2）加氢反应器，热高、热低、冷高、冷低分离区、循环气脱硫塔、循环氢压缩机、含硫污水罐及输送泵等可能发生含氨物料泄漏区域设置固定式氨报警仪，含氨物料采样系统应当设置密闭采样器。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（3）循环氢压缩机区域应当设置通风设施。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（4）硫化区域及胺储罐区域应当设置喷淋洗眼器。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（5）含硫化氢污水、含油污水密闭处理。</w:t>
      </w:r>
    </w:p>
    <w:p>
      <w:pPr>
        <w:pStyle w:val="5"/>
        <w:spacing w:before="0" w:after="0" w:line="240" w:lineRule="auto"/>
        <w:jc w:val="center"/>
        <w:rPr>
          <w:rFonts w:hint="eastAsia" w:ascii="仿宋_GB2312" w:hAnsi="仿宋_GB2312" w:eastAsia="仿宋_GB2312" w:cs="仿宋_GB2312"/>
          <w:color w:val="000000"/>
          <w:sz w:val="28"/>
          <w:szCs w:val="28"/>
        </w:rPr>
      </w:pPr>
      <w:bookmarkStart w:id="10" w:name="_Toc15558"/>
      <w:r>
        <w:rPr>
          <w:rFonts w:hint="eastAsia" w:ascii="仿宋_GB2312" w:hAnsi="仿宋_GB2312" w:eastAsia="仿宋_GB2312" w:cs="仿宋_GB2312"/>
          <w:color w:val="000000"/>
          <w:sz w:val="28"/>
          <w:szCs w:val="28"/>
        </w:rPr>
        <w:t>（二）化工部分</w:t>
      </w:r>
      <w:bookmarkEnd w:id="10"/>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1.乙烯裂解装置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（1）气体排出后统一收集至放空处理系统进行处理，液体输送至污油系统，气体输送至火炬系统，管道及设备排放点及采样点设置回收设施。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（2）二甲基二硫及阻聚剂采用密闭自动添加系统。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裂解炉、急冷器、裂解气干燥器、凝液干燥器、汽油分馏塔、急冷水塔、碱洗塔、裂解汽油输出泵等处采用密闭、自动化的生产工艺，含苯物料采用密闭采样系统，在可能泄漏苯物料的位置设置固定式苯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（4）在裂解炉等可能发生一氧化碳泄漏的位置应当设置固定式一氧化碳报警仪。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（5）裂解炉、急冷器、汽油分馏塔、急冷水塔、工艺水汽提塔、碱洗塔、压缩机等可能泄漏硫化氢的位置应当设置固定式硫化氢检测报警仪，含硫化氢物料的采样系统应当设置密闭采样系统。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（6）分离区甲醇泵、甲醇罐及碱洗区碱罐、碱泵附近应当设置喷淋洗眼器。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2.裂解汽油加氢</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（1）裂解汽油加氢应当采用密闭、自动化的生产工艺，含苯物料采用密闭采样系统，在可能泄漏苯物料的位置设置固定式苯检测报警仪。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（2）存在含硫化氢物料的加氢反应器、稳定回流罐、机泵等使用耐腐蚀、耐高温的设备或管线。</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（3）含硫化氢物料的采样系统应当设置密闭采样器，在可能泄漏硫化氢的区域应当设置固定式硫化氢检测报警仪。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（4）含硫化氢的污水、含油污水应当密闭处理。</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3.丁二烯抽提</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（1）丁二烯、二甲基甲酰胺等采用密闭采样器，相关区域设置喷淋洗眼器。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（2）甲苯及对叔丁基邻苯二酚添加过程密闭化、自动化，加药场所设置喷淋洗眼器。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4.芳烃化工装置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（1）应当采用密闭化、自动化的生产工艺，苯产品泵采用密封性能好的屏蔽泵，含苯物料采用密闭采样系统，在可能泄漏苯物料的位置设置固定式苯检测报警装置。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（2）白土粉尘等固体物料的装卸、添加应当优先采用密闭化、自动化工艺。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（3）在固体物质的投料和下料口，应当采用密闭罩口，并设负压吸尘设施。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（4）对于固体物料，应当定期通过地面冲洗设施冲洗回收。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（5）含油污水密闭处理。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（6）辅料添加处设置喷淋洗眼器。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5.乙二醇/环氧乙烷装置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（1）在氨罐、氨泵等可能泄漏氨的位置设置固定式氨检测报警装置。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（2）氨罐周围设置泄险沟和围堰。</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（3）在使用环氧乙烷、乙二醇、甲醛、氨、氢氧化钠等腐蚀性物质的场所设置喷淋洗眼设施。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（4）环氧乙烷反应单元二氯乙烷罐、泵以及反应器等采用自动化加料工艺。</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6.苯酚丙酮装置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（1）含苯物料采用密闭采样系统，在可能泄漏苯物料的位置设置固定式苯检测报警装置以及喷淋洗眼器。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（2）苯酚生产采用密闭化的设备与工艺，采用自动灌装设施，以及密闭自动采样系统，灌装厂房应当设通风设施。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（3）丙酮生产采用密闭化的设备与工艺，丙酮产品灌装或装车采用密闭化的设备，灌装厂房应当设置通风设施。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（4）酸碱罐、酸碱泵、苯酚罐、苯酚泵等区域设置喷淋洗眼器。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（5）酸碱罐、苯酚罐周围设置泄险沟和围堰。</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7.乙苯-苯乙烯装置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（1）采用密闭化、自动化生产工艺，含苯物料采用密闭采样系统，在可能泄漏苯物料的位置设置固定式苯检测报警装置以及喷淋洗眼器。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（2）阻聚剂采用自动添加工艺，在加剂处设置喷淋洗眼器，阻聚剂厂房设置通风设施。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（3）在氨压机等可能泄漏含氨物料的位置设置固定式氨检测报警装置和喷淋洗眼器。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（4）含苯物料采用密闭采样系统，在可能泄漏苯物料的位置设置固定式苯报警仪。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8.聚乙烯装置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（1）包装机处设置局部通风除尘设施，应当优先采用自动化包装工艺。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（2）添加料斗处设置局部通风除尘设施，助剂厂房设置全面通风设施，配备可移动式地面吸尘器等防止二次扬尘的清扫设施。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（3）一氧化碳钢瓶管线密闭化，并设置一氧化碳检测报警仪。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9.聚丙烯装置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（1）包装机处设置局部通风除尘设施，应当优先采用自动化包装工艺。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（2）添加料斗处设置局部通风除尘设施，助剂厂房设置全面通风设施，配备可移动式地面吸尘器等防止二次扬尘的清扫设施。</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（3）催化剂配制间应当设置局部通风橱，催化剂加料应当采用负压吸入方式。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（4）一氧化碳钢瓶管线密闭化，并设置一氧化碳检测报警仪。</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10.聚苯乙烯装置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（1）苯乙烯罐、进料泵、橡胶切碎加料口，聚合反应操作等采用密闭化生产工艺，并在可能接触到苯乙烯的区域设置喷淋洗眼器。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（2）引发剂添加过程应当密闭化、自动化。引发剂罐、投加泵等区域设置喷淋洗眼器。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（3）添加料斗处设置局部通风除尘设施，助剂厂房设置全面通风设施，配备可移动式地面吸尘器等防止二次扬尘的清扫设施。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11.聚氯乙烯装置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（1）在氯乙烯罐、气柜、浆料缓冲罐、汽提塔、排放阀门等可能泄漏氯乙烯的位置设置固定式氯乙烯检测报警仪。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（2）甲醇罐附近设置喷淋洗眼器。</w:t>
      </w:r>
    </w:p>
    <w:p>
      <w:pPr>
        <w:pStyle w:val="5"/>
        <w:spacing w:before="0" w:after="0" w:line="360" w:lineRule="auto"/>
        <w:jc w:val="center"/>
        <w:rPr>
          <w:rFonts w:hint="eastAsia" w:ascii="仿宋_GB2312" w:hAnsi="仿宋_GB2312" w:eastAsia="仿宋_GB2312" w:cs="仿宋_GB2312"/>
          <w:color w:val="000000"/>
          <w:sz w:val="28"/>
          <w:szCs w:val="28"/>
        </w:rPr>
      </w:pPr>
      <w:bookmarkStart w:id="11" w:name="_Toc29471"/>
      <w:r>
        <w:rPr>
          <w:rFonts w:hint="eastAsia" w:ascii="仿宋_GB2312" w:hAnsi="仿宋_GB2312" w:eastAsia="仿宋_GB2312" w:cs="仿宋_GB2312"/>
          <w:color w:val="000000"/>
          <w:sz w:val="28"/>
          <w:szCs w:val="28"/>
        </w:rPr>
        <w:t>（三）储运部分</w:t>
      </w:r>
      <w:bookmarkEnd w:id="11"/>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1.化学品库房设置日常通风及事故通风等通风防毒设施，事故通风换气次数不得小于12次/小时。</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2.苯、甲苯、二甲苯、汽油、柴油、液化石油气、原油、甲醇、氨、酸、碱等高度危害和极度危害的物料应当采用密闭方式装卸，并设置循环回收净化系统。</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3.需要设置操作室或观察室的，室内应当设置新风系统，使操作室或观察室为微正压状态。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4.宜采用自动密闭脱水，设置自动检尺。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5.高毒物料或易致急性中毒物料作业场所、装卸区域设置固定式有毒气体报警仪。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6.储存液态有毒物质的储罐区应当设置围堰，围堰的容积应当不小于最大单罐地上部分储量。从围堰引出的排液通过废水管汇集到污水池。</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7.储存液态有毒物质储罐、储槽作业区、酸碱装卸车栈台附近应当分别设置应急冲淋洗眼装置。 </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8.储存气态、液态毒性物质储罐、储槽作业区设置风向标。</w:t>
      </w:r>
    </w:p>
    <w:p>
      <w:pPr>
        <w:pStyle w:val="5"/>
        <w:spacing w:before="0" w:after="0" w:line="360" w:lineRule="auto"/>
        <w:jc w:val="center"/>
        <w:rPr>
          <w:rFonts w:hint="eastAsia" w:ascii="仿宋_GB2312" w:hAnsi="仿宋_GB2312" w:eastAsia="仿宋_GB2312" w:cs="仿宋_GB2312"/>
          <w:color w:val="000000"/>
          <w:sz w:val="28"/>
          <w:szCs w:val="28"/>
        </w:rPr>
      </w:pPr>
      <w:bookmarkStart w:id="12" w:name="_Toc23719"/>
      <w:r>
        <w:rPr>
          <w:rFonts w:hint="eastAsia" w:ascii="仿宋_GB2312" w:hAnsi="仿宋_GB2312" w:eastAsia="仿宋_GB2312" w:cs="仿宋_GB2312"/>
          <w:color w:val="000000"/>
          <w:sz w:val="28"/>
          <w:szCs w:val="28"/>
        </w:rPr>
        <w:t>（四）公辅部分</w:t>
      </w:r>
      <w:bookmarkEnd w:id="12"/>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1.化验部分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（1）分析化验室内应当设置通风柜、吸风罩及轴流风机等通风设施，样品处理应当在通风柜内进行。</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（2）样品间、试剂间、清洗间应当设有通风设施及通风样品柜、通风试剂柜。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（3）可能发生化学灼伤的实验室应当设置喷淋洗眼器。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（4）分析化验室的应当设置废气、废液及其他废物集中收集装置。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（5）分析化验室应当实现微负压，防止有害物质逸散至室外。</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2.污水处理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（1）选用密闭性好的污水处理设施，密闭导出的有害气体应当进行净化处理。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（2）在可能产生硫化氢的区域设置固定式硫化氢检测报警仪。</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（3）污水处理酸碱间设置通风设施以及喷淋洗眼器。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（4）添加剂间设置局部通风除尘设施，配备可移动式地面吸尘器等防止二次扬尘的清扫设施。</w:t>
      </w:r>
    </w:p>
    <w:p>
      <w:pPr>
        <w:pStyle w:val="4"/>
        <w:spacing w:before="0" w:after="0" w:line="360" w:lineRule="auto"/>
        <w:jc w:val="center"/>
        <w:rPr>
          <w:rFonts w:hint="eastAsia" w:ascii="黑体" w:hAnsi="黑体" w:eastAsia="黑体" w:cs="黑体"/>
          <w:b w:val="0"/>
          <w:bCs/>
          <w:color w:val="000000"/>
          <w:sz w:val="28"/>
          <w:szCs w:val="28"/>
        </w:rPr>
      </w:pPr>
      <w:bookmarkStart w:id="13" w:name="_Toc22342"/>
      <w:r>
        <w:rPr>
          <w:rFonts w:hint="eastAsia" w:ascii="黑体" w:hAnsi="黑体" w:eastAsia="黑体" w:cs="黑体"/>
          <w:b w:val="0"/>
          <w:bCs/>
          <w:color w:val="000000"/>
          <w:sz w:val="28"/>
          <w:szCs w:val="28"/>
        </w:rPr>
        <w:t>四、汽车制造</w:t>
      </w:r>
      <w:bookmarkEnd w:id="13"/>
    </w:p>
    <w:p>
      <w:pPr>
        <w:pStyle w:val="5"/>
        <w:spacing w:before="0" w:after="0" w:line="360" w:lineRule="auto"/>
        <w:rPr>
          <w:rFonts w:hint="eastAsia" w:ascii="仿宋_GB2312" w:hAnsi="仿宋_GB2312" w:eastAsia="仿宋_GB2312" w:cs="仿宋_GB2312"/>
          <w:color w:val="000000"/>
          <w:sz w:val="28"/>
          <w:szCs w:val="28"/>
        </w:rPr>
      </w:pPr>
      <w:bookmarkStart w:id="14" w:name="_Toc27375"/>
      <w:r>
        <w:rPr>
          <w:rFonts w:hint="eastAsia" w:ascii="仿宋_GB2312" w:hAnsi="仿宋_GB2312" w:eastAsia="仿宋_GB2312" w:cs="仿宋_GB2312"/>
          <w:color w:val="000000"/>
          <w:sz w:val="28"/>
          <w:szCs w:val="28"/>
        </w:rPr>
        <w:t>（一）焊接</w:t>
      </w:r>
      <w:bookmarkEnd w:id="14"/>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1.优先使用自动化程度高的焊接设备和发烟量低的焊接方法。</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2.大批量的焊接、打磨等作业宜设置固定式局部通风除尘装置，并且宜采取上送风下排风的送风方式；少量的焊接、打磨等作业宜设置移动式局部通风除尘装置，并及时更换过滤材料，保证其净化效果。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3.对半自动焊和自动焊，应集中布置并设置局部送排风装置，并合理组织气流，保证其排风效果。</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4.集中弧焊工位、焊机密集区域设置焊接小室，设通风除尘装置，分散弧焊工位设单机除尘装置。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5.人工焊接作业点应设置局部通风防尘装置，排风罩对准并尽可能靠近焊烟产生的位置，并对焊烟进行净化处理。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6.打磨和焊接同室存在时，应采取上送下排的通风方式，室内保持负压。</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7.使用不含或少含锰、铅等有毒物质的焊料。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8.焊接、打磨作业设置隔声室，天棚、墙体、门窗均应符合隔声、吸声的要求。</w:t>
      </w:r>
    </w:p>
    <w:p>
      <w:pPr>
        <w:pStyle w:val="5"/>
        <w:spacing w:before="0" w:after="0" w:line="360" w:lineRule="auto"/>
        <w:rPr>
          <w:rFonts w:hint="eastAsia" w:ascii="仿宋_GB2312" w:hAnsi="仿宋_GB2312" w:eastAsia="仿宋_GB2312" w:cs="仿宋_GB2312"/>
          <w:color w:val="000000"/>
          <w:sz w:val="28"/>
          <w:szCs w:val="28"/>
        </w:rPr>
      </w:pPr>
      <w:bookmarkStart w:id="15" w:name="_Toc27089"/>
      <w:r>
        <w:rPr>
          <w:rFonts w:hint="eastAsia" w:ascii="仿宋_GB2312" w:hAnsi="仿宋_GB2312" w:eastAsia="仿宋_GB2312" w:cs="仿宋_GB2312"/>
          <w:color w:val="000000"/>
          <w:sz w:val="28"/>
          <w:szCs w:val="28"/>
        </w:rPr>
        <w:t>（二）喷漆和调漆</w:t>
      </w:r>
      <w:bookmarkEnd w:id="15"/>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1.使用无毒或低毒的水性涂料、高固份涂料、粉末涂料、紫外光固化（UV）涂料。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2.应选择自动化程度高的自动调漆设备；宜采用静电喷涂、淋涂、辊涂、浸涂等效率较高的涂装工艺。</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3.输送涂料、溶剂、稀释剂等各类物料的管道应严格密闭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4.喷漆、油漆储存和调配应在设置机械通风的专用房间；喷漆、调漆作业区应与休息区分开布置。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5.无气喷涂的喷枪应配置自锁安全装置，喷涂间歇时应能将喷枪自锁。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6.喷漆间、调漆间应设置负压隔离间或小室。 人工调漆、补漆应设置局部排风罩或移动式漆雾收集净化装置。</w:t>
      </w:r>
    </w:p>
    <w:p>
      <w:pPr>
        <w:pStyle w:val="5"/>
        <w:spacing w:before="0" w:after="0" w:line="360" w:lineRule="auto"/>
        <w:rPr>
          <w:rFonts w:hint="eastAsia" w:ascii="仿宋_GB2312" w:hAnsi="仿宋_GB2312" w:eastAsia="仿宋_GB2312" w:cs="仿宋_GB2312"/>
          <w:color w:val="000000"/>
          <w:sz w:val="28"/>
          <w:szCs w:val="28"/>
        </w:rPr>
      </w:pPr>
      <w:bookmarkStart w:id="16" w:name="_Toc12869"/>
      <w:r>
        <w:rPr>
          <w:rFonts w:hint="eastAsia" w:ascii="仿宋_GB2312" w:hAnsi="仿宋_GB2312" w:eastAsia="仿宋_GB2312" w:cs="仿宋_GB2312"/>
          <w:color w:val="000000"/>
          <w:sz w:val="28"/>
          <w:szCs w:val="28"/>
        </w:rPr>
        <w:t>（三）总装</w:t>
      </w:r>
      <w:bookmarkEnd w:id="16"/>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1.整车装配</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燃油应优先选用无铅汽油，并在加注工位设置防爆型局部排风设施。挡风玻璃涂胶采用自动涂胶机，设置局部排风设施，在挡风玻璃人工清洗工位处设局部排风设施。宜采用低噪声的设备，并设减振基座。</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2.整车检测</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整车测试作业和发动机测试宜安装局部排毒、净化设施。采用减振加消声器的措施。四轮定位仪、车底检查地沟，以及转鼓试验台工位应设置排风系统。</w:t>
      </w:r>
    </w:p>
    <w:p>
      <w:pPr>
        <w:pStyle w:val="4"/>
        <w:spacing w:before="0" w:after="0" w:line="360" w:lineRule="auto"/>
        <w:jc w:val="center"/>
        <w:rPr>
          <w:rFonts w:hint="eastAsia" w:ascii="黑体" w:hAnsi="黑体" w:eastAsia="黑体" w:cs="黑体"/>
          <w:b w:val="0"/>
          <w:bCs/>
          <w:color w:val="000000"/>
          <w:sz w:val="28"/>
          <w:szCs w:val="28"/>
        </w:rPr>
      </w:pPr>
      <w:bookmarkStart w:id="17" w:name="_Toc29069"/>
      <w:r>
        <w:rPr>
          <w:rFonts w:hint="eastAsia" w:ascii="黑体" w:hAnsi="黑体" w:eastAsia="黑体" w:cs="黑体"/>
          <w:b w:val="0"/>
          <w:bCs/>
          <w:color w:val="000000"/>
          <w:sz w:val="28"/>
          <w:szCs w:val="28"/>
        </w:rPr>
        <w:t>五、建材行业</w:t>
      </w:r>
      <w:bookmarkEnd w:id="17"/>
    </w:p>
    <w:p>
      <w:pPr>
        <w:pStyle w:val="5"/>
        <w:spacing w:before="0" w:after="0" w:line="360" w:lineRule="auto"/>
        <w:jc w:val="center"/>
        <w:rPr>
          <w:rFonts w:hint="eastAsia" w:ascii="仿宋_GB2312" w:hAnsi="仿宋_GB2312" w:eastAsia="仿宋_GB2312" w:cs="仿宋_GB2312"/>
          <w:color w:val="000000"/>
          <w:sz w:val="28"/>
          <w:szCs w:val="28"/>
        </w:rPr>
      </w:pPr>
      <w:bookmarkStart w:id="18" w:name="_Toc29178"/>
      <w:r>
        <w:rPr>
          <w:rFonts w:hint="eastAsia" w:ascii="仿宋_GB2312" w:hAnsi="仿宋_GB2312" w:eastAsia="仿宋_GB2312" w:cs="仿宋_GB2312"/>
          <w:color w:val="000000"/>
          <w:sz w:val="28"/>
          <w:szCs w:val="28"/>
        </w:rPr>
        <w:t>（一）水泥制造</w:t>
      </w:r>
      <w:bookmarkEnd w:id="18"/>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控制室、车间值班室应设置防尘、隔声和通风设施。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1.物料破碎</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石灰石、砂岩、铁矿石、石膏、熟料、煤、混合材料等物料破碎时，应采用通风除尘（袋式除尘器除尘）装置。颚式破碎机出口应连同输送设备设吸尘罩。反击式破碎机、锤式破碎机进料和出料口应采用密闭装置，同时可增设均压管。破碎机宜采取壳体噪声隔离或建筑噪声隔离等措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2.原料粉磨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配料仓顶和仓底及输送设备转运点均应设除尘设施。磨尾卸料口和除尘器出灰口应装锁风装置。</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3.生料均化及入窑喂料</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生料均化库顶和库底、入窑系统输送设备转运点应设置除尘装置。各粉料库（仓）应在顶部卸压口安装袋式除尘器。原料及熟料各库底配料下料口应安装吸尘罩。储库抓斗吊车司机室应安装空气调节与净化装置，并配备必要的除尘设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4.煤粉制备</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喂料机、动态选粉机应设锁风装置。煤粉系统的所有风管及溜子应减少拐弯，需拐弯时，应防止煤粉堆积。宜采用低噪声的设备，并设减振基础。</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5.物料烘干</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烘干系统应设置除尘装置。回转式烘干机与吸尘罩的连接处，应严格密闭，其卸料口和除尘器出灰口均须装锁风装置。宜采用低噪声的设备，并设减振基础。</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6.熟料烧成</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熟料冷却机余风的除尘，宜采用电除尘器或袋式除尘器。回转窑筒体与窑头、窑尾与烟室等应采用密封措施。蓖式冷却机废气应设电除尘器或袋式除尘器。窑尾收尘器应设置一氧化碳检测报警装置。宜采用低噪声的设备，并设减振基础。</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7.输送</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物料输送应尽可能选用密闭性能好的输送设备。输送设备转运点、下料口的设计安装，应尽可能降低物料的落差，并配备必要的除尘设施。斗式提升机视高度，在一端或两端分别设置吸风口进行通风除尘。罗茨风机进出风管及旁路管道应装消声器。</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8.水泥储存和包装、装车</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（1）水泥成品储存库。</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库顶、库底、水泥库的落料口应设置除尘设施。</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（2）袋装水泥。</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提升机、筛分设备、中间仓、包装机、接包机、清包机、卸袋机和胶带输送机转载点等处均应配备除尘设施。包装机周围应安装围档。输送机转载点应尽可能平稳、顺畅。</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（3）散装水泥。</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入库、卸料及装车散装水泥的入库、卸料及装车应设置除尘设施。散装水泥装车，应在汽车配气孔相应位置合理设置除尘器，并在散装水泥开始装车前打开。</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（4）袋装水泥装车。</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袋装水泥装车过程劳动者应轻拿轻放，且装车机落包高度不得超过1m。</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（5）水泥装袋、码堆与装车自动化。</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优先采用无人自动化的包装机、码堆机和装车机。 </w:t>
      </w:r>
    </w:p>
    <w:p>
      <w:pPr>
        <w:pStyle w:val="5"/>
        <w:spacing w:before="0" w:after="0" w:line="360" w:lineRule="auto"/>
        <w:jc w:val="center"/>
        <w:rPr>
          <w:rFonts w:hint="eastAsia" w:ascii="仿宋_GB2312" w:hAnsi="仿宋_GB2312" w:eastAsia="仿宋_GB2312" w:cs="仿宋_GB2312"/>
          <w:color w:val="000000"/>
          <w:sz w:val="28"/>
          <w:szCs w:val="28"/>
        </w:rPr>
      </w:pPr>
      <w:bookmarkStart w:id="19" w:name="_Toc23896"/>
      <w:r>
        <w:rPr>
          <w:rFonts w:hint="eastAsia" w:ascii="仿宋_GB2312" w:hAnsi="仿宋_GB2312" w:eastAsia="仿宋_GB2312" w:cs="仿宋_GB2312"/>
          <w:color w:val="000000"/>
          <w:sz w:val="28"/>
          <w:szCs w:val="28"/>
        </w:rPr>
        <w:t>（二）陶瓷制造</w:t>
      </w:r>
      <w:bookmarkEnd w:id="19"/>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1.原料加工</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破碎工序的投料、破碎、出料、运输应采用机械联动作业，实现集中控制。投料铲车驾驶室应能密闭，并设新风空调系统，投料过程应保持密闭。</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破碎设备应整体密闭，并设于地平以下。筛分干料的设备应设密闭罩并通风除尘，下部卸料口应设排风罩。</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用球磨、搅拌磨等湿法粉碎工艺的，进料、运输、称量、卸料应采用机械化作业方式，配料、进料工位应设置通风除尘装置，排风罩宜采用通风柜形式，工艺允许的情况下可设喷雾喷水装置，在配料和进料时保持开启。</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采用雷蒙机、立磨等干法粉碎工艺的，全部工序应采用机械化、自动化作业方式。设备各连接处应严密，加料口和卸料口应设置密闭或半密闭罩，并设置通风除尘装置。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在干燥塔进行干法制粉时，必须采取捕尘、除尘措施。制粉下料处封闭、干燥塔设置布袋除尘器。</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在料仓下人工配料时，下料口处应设置排风罩，其风管阀门与下料口阀门应设置联锁装置。</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混合设备应设整体密闭罩，并设置通风除尘装置。湿法粉碎的泥浆需要干燥制成粉料的，应采用密闭的喷雾干燥塔或其他密闭干燥工艺，并在出料口设置排风罩。车间地面及时洒水、清扫，防止积尘产生二次扬尘。</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2.成型</w:t>
      </w:r>
    </w:p>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（1）制坯</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可塑成形应精确控制放入模型的泥块重量，尽量减少压坯后的余泥，多余的泥料应收集在专门的收集箱内。</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注浆成形应避免泥浆外溢。应采用湿法作业方式及时清理模具上的粉尘。成形后多余的泥浆应盛在专门的容器内。</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粉料静压成形应采用封闭方式，料箱和模具中产生的含尘气流应由专门的风管吸入除尘装置净化处理。</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半干压成型的粉料应控制在料盘和压机的工作台内，防止外泄，工作台上应设置通风除尘装置。可设压机一体式的负压排风罩收尘，防止粉尘向外逸散。为压机量身配备防尘帘。</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干燥设备应保持清洁，破坯、破屑不应存留在干燥设备内。干燥过程中生坯表面黏附的粉尘，以及部分生坯在干燥过程中破碎产生的粉尘，在气流的作用下会逸散。设干燥室，成型的产品全自动运输，且设置除尘装置，在干燥台周围设粉尘收纳箱，并定时清洁，减少粉尘的产生。</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模具、料板和垫饼粉尘清扫作业应在密闭清灰室内进行。清灰室内应设置通风除尘装置，宜采用通风柜形式。</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（2）精坯</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修坯、坯件粘接、坯体钻孔应优先采用湿式或半干式作业。如只能采用干法作业，作业点应设通风除尘装置，宜采用带有水帘的通风除尘装置。</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精坯清灰应在密闭清灰室内进行，应采用机械方式，清灰岗位应设置通风除尘装置，宜采取侧吸罩形式。</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坯体砂轮切割、打磨及刷坯作业点应设置通风除尘装置。</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（3）施釉</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喷釉设施应设置通风除尘装置，尽量密闭。设置单独釉料配制间和施釉间。施釉间进行全面通风，喷釉或淋釉区域加装局部通风装置。</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喷雾施釉宜采用自动化操作方式进行，自动化喷雾施釉工序宜密闭。采用人工喷雾法施釉的，应在通风柜内进行施釉作业，喷雾的雾粒应喷射在排风罩内。喷射在通风柜内壁上的釉料应采用湿式作业方式清除。</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去底釉宜采用湿法擦底，如须采用干法时，应设置通风除尘装置。</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3.烧成</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（1）装坯</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应采用专门工具清扫坯体和垫饼灰尘，并在作业点上设置排风罩。窑具、匣钵内需用垫层时，不应使用石英粉或糠灰。废坯、废匣钵、废窑具应放入专门的废料箱内，不应随意丢弃。</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（2）焙烧</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陶瓷烧成宜采用隧道窑、辊道窑和间歇式大型梭式窑等，尽量采用自动化程度较高的节能窑，不应使用人工在窑室内作业的窑炉。在窑炉装、卸砖台配置喷雾风扇，出窑点配置有自动清扫功能的布袋除尘器。</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4.后处理</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陶瓷切边、刮平、抛光、磨边、修补等产生粉尘的后处理工序宜采用湿法工艺，应当使用内、外喷雾装置和控尘装置、除尘器等构成的综合防尘装置。必须建立防尘洒水系统。采用干法工艺的，应设通风除尘装置。陶瓷残次品的粉碎宜采用湿法工艺，采用干法工艺的，宜在破碎装置后方或上方设置通风除尘装置。</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5.物料存储和输送</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陶瓷生产使用的原、辅材料应设库储存，不应开敞堆放。库房内应设喷雾降尘设施或通风除尘设施。原、辅材料装卸过程中喷雾降尘设施应保持开启。地面及时洒水、清扫。尽量使原料堆积点靠近工作点。投料时，降低投料时物料落差，减少粉尘的产生，同时在接料漏斗处装设收尘装置。</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使用料仓存储粉料的，料仓应密闭，进料口处应设通风除尘装置。斗式提升机、螺旋输送机应密封，并在下部排风。</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粉料需包装存储或转运的，宜采用包装机进行包装，包装材料应具有良好的密封性及强度，包装作业岗位应设下吸式或侧吸式排风罩，并设通风除尘装置。</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拆包、倒包作业应采用机械化作业方式实施，作业场所应设吸尘装置或喷雾降尘装置。粉料包装袋的清理回收应在采取吸尘措施的工作台上进行。使用车辆运输散装干粉料时，应将粉料置于密闭的容器内运输。</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粉状物料宜采用气力输送装置输送。输送物料的各种设备、溜槽、管道应减少连接点或中间环节，转运点应采用溜槽的形式。带式输送机宜采用整体密闭或上部密闭方式，并设置通风除尘装置。</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罗茨风机进出风管及旁路管道应装消声器。</w:t>
      </w:r>
    </w:p>
    <w:p>
      <w:pPr>
        <w:pStyle w:val="5"/>
        <w:snapToGrid w:val="0"/>
        <w:spacing w:before="0" w:after="0" w:line="580" w:lineRule="exact"/>
        <w:jc w:val="center"/>
        <w:rPr>
          <w:rFonts w:hint="eastAsia" w:ascii="仿宋_GB2312" w:hAnsi="仿宋_GB2312" w:eastAsia="仿宋_GB2312" w:cs="仿宋_GB2312"/>
          <w:color w:val="000000"/>
          <w:sz w:val="28"/>
          <w:szCs w:val="28"/>
        </w:rPr>
      </w:pPr>
      <w:bookmarkStart w:id="20" w:name="_Toc7932"/>
      <w:r>
        <w:rPr>
          <w:rFonts w:hint="eastAsia" w:ascii="仿宋_GB2312" w:hAnsi="仿宋_GB2312" w:eastAsia="仿宋_GB2312" w:cs="仿宋_GB2312"/>
          <w:color w:val="000000"/>
          <w:sz w:val="28"/>
          <w:szCs w:val="28"/>
        </w:rPr>
        <w:t>（三）石材加工</w:t>
      </w:r>
      <w:bookmarkEnd w:id="20"/>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1.切割</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应选用自动洒水、产尘少的切割设备，配备具有护尘盖的专用锯台。框架锯机、切机等切割设备应采用排风罩。</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2.研磨</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石材研磨过程应减少手工操作，并采用水磨工艺替代干磨工艺。石材研磨宜选用自动研磨设备和连续研磨机械，并配备吸尘罩装置。抛光过程宜采用半密闭作业方式，并采取防护措施。</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3.雕刻等其他工艺作业</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石材数控加工中心应密闭防尘，无控制室但有岗位的接尘生产场所，应设密闭防尘的工作人员值班室。</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在异形石材加工中，雕刻机、磨边机、倒角机等设备应采取局部密闭措施并设置排风罩。</w:t>
      </w:r>
    </w:p>
    <w:p>
      <w:pPr>
        <w:pStyle w:val="4"/>
        <w:snapToGrid w:val="0"/>
        <w:spacing w:before="0" w:after="0" w:line="580" w:lineRule="exact"/>
        <w:jc w:val="center"/>
        <w:rPr>
          <w:rFonts w:hint="eastAsia" w:ascii="黑体" w:hAnsi="黑体" w:eastAsia="黑体" w:cs="黑体"/>
          <w:b w:val="0"/>
          <w:bCs/>
          <w:color w:val="000000"/>
          <w:sz w:val="28"/>
          <w:szCs w:val="28"/>
        </w:rPr>
      </w:pPr>
      <w:bookmarkStart w:id="21" w:name="_Toc12748"/>
      <w:r>
        <w:rPr>
          <w:rFonts w:hint="eastAsia" w:ascii="黑体" w:hAnsi="黑体" w:eastAsia="黑体" w:cs="黑体"/>
          <w:b w:val="0"/>
          <w:bCs/>
          <w:color w:val="000000"/>
          <w:sz w:val="28"/>
          <w:szCs w:val="28"/>
        </w:rPr>
        <w:t>六、皮革制造</w:t>
      </w:r>
      <w:bookmarkEnd w:id="21"/>
    </w:p>
    <w:p>
      <w:pPr>
        <w:pStyle w:val="5"/>
        <w:snapToGrid w:val="0"/>
        <w:spacing w:before="0" w:after="0" w:line="580" w:lineRule="exact"/>
        <w:rPr>
          <w:rFonts w:hint="eastAsia" w:ascii="仿宋_GB2312" w:hAnsi="仿宋_GB2312" w:eastAsia="仿宋_GB2312" w:cs="仿宋_GB2312"/>
          <w:color w:val="000000"/>
          <w:sz w:val="28"/>
          <w:szCs w:val="28"/>
        </w:rPr>
      </w:pPr>
      <w:bookmarkStart w:id="22" w:name="_Toc2390"/>
      <w:r>
        <w:rPr>
          <w:rFonts w:hint="eastAsia" w:ascii="仿宋_GB2312" w:hAnsi="仿宋_GB2312" w:eastAsia="仿宋_GB2312" w:cs="仿宋_GB2312"/>
          <w:color w:val="000000"/>
          <w:sz w:val="28"/>
          <w:szCs w:val="28"/>
        </w:rPr>
        <w:t>（一）皮革制品制造（制鞋、箱包）</w:t>
      </w:r>
      <w:bookmarkEnd w:id="22"/>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1.涂（刷）胶、粘贴</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刷胶、烘晾胶、鞋底面清理、喷漆等作业时应采取密闭（整体密闭、局部密闭）技术措施，不能密闭时应当设置局部通风排毒设施。刷胶作业工作台的通风排毒设施宜采用下吸风或侧吸风方式，如采用上吸风方式时，吸风罩口的高度应低于劳动者操作时的呼吸带。手工喷涂必须配备专用水帘喷涂柜。胶粘剂的调制应在设有有效的通风排毒装置的单独房间内进行，调制胶粘剂的搅拌机应密闭，且在上方设局部通风排毒装置。产生噪声和振动的设备宜采用消声、吸声、隔声和减振等噪声与振动控制措施。</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2.烘、晾胶</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烘晾胶场所应设置全面通风设施。烘干、干燥机散发的有毒气体，应采取切实有效的控制措施并进行局部排风。刷胶-烘干流水线应设局部排毒装置，烘箱采用隧道式，吸风罩位于烘箱的上方。</w:t>
      </w:r>
    </w:p>
    <w:p>
      <w:pPr>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3.打磨</w:t>
      </w:r>
    </w:p>
    <w:p>
      <w:pPr>
        <w:snapToGrid w:val="0"/>
        <w:spacing w:line="5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磨革、干削、削匀、铲软、起毛、片皮等工序，应配备有效的通风除尘装置。抛光打蜡机设除尘器设施。</w:t>
      </w:r>
    </w:p>
    <w:p>
      <w:pPr>
        <w:ind w:firstLine="555"/>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3"/>
        <w:rPr>
          <w:rFonts w:hint="eastAsia"/>
          <w:color w:val="000000"/>
        </w:rPr>
      </w:pPr>
    </w:p>
    <w:tbl>
      <w:tblPr>
        <w:tblStyle w:val="9"/>
        <w:tblpPr w:leftFromText="181" w:rightFromText="181" w:vertAnchor="page" w:horzAnchor="page" w:tblpX="1715" w:tblpY="14647"/>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494" w:type="dxa"/>
            <w:tcBorders>
              <w:top w:val="single" w:color="auto" w:sz="4" w:space="0"/>
              <w:left w:val="nil"/>
              <w:bottom w:val="single" w:color="auto" w:sz="4" w:space="0"/>
              <w:right w:val="nil"/>
            </w:tcBorders>
            <w:noWrap w:val="0"/>
            <w:vAlign w:val="bottom"/>
          </w:tcPr>
          <w:p>
            <w:pPr>
              <w:ind w:left="1239" w:leftChars="50" w:hanging="1134" w:hangingChars="40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福建省卫生健康委员会办公室</w:t>
            </w:r>
          </w:p>
        </w:tc>
        <w:tc>
          <w:tcPr>
            <w:tcW w:w="4494" w:type="dxa"/>
            <w:tcBorders>
              <w:top w:val="single" w:color="auto" w:sz="4" w:space="0"/>
              <w:left w:val="nil"/>
              <w:bottom w:val="single" w:color="auto" w:sz="4" w:space="0"/>
              <w:right w:val="nil"/>
            </w:tcBorders>
            <w:noWrap w:val="0"/>
            <w:vAlign w:val="bottom"/>
          </w:tcPr>
          <w:p>
            <w:pPr>
              <w:wordWrap w:val="0"/>
              <w:ind w:left="1134" w:right="105" w:rightChars="50" w:hanging="1134" w:hangingChars="405"/>
              <w:jc w:val="right"/>
              <w:rPr>
                <w:rFonts w:hint="eastAsia" w:ascii="仿宋_GB2312" w:hAnsi="仿宋_GB2312" w:eastAsia="仿宋_GB2312" w:cs="仿宋_GB2312"/>
                <w:color w:val="000000"/>
                <w:sz w:val="28"/>
                <w:szCs w:val="28"/>
              </w:rPr>
            </w:pPr>
            <w:r>
              <w:rPr>
                <w:rFonts w:ascii="仿宋_GB2312" w:hAnsi="仿宋_GB2312" w:eastAsia="宋体" w:cs="仿宋_GB2312"/>
                <w:color w:val="000000"/>
                <w:sz w:val="28"/>
                <w:szCs w:val="28"/>
              </w:rPr>
              <w:t>20</w:t>
            </w:r>
            <w:r>
              <w:rPr>
                <w:rFonts w:hint="default" w:ascii="仿宋_GB2312" w:hAnsi="仿宋_GB2312" w:eastAsia="宋体" w:cs="仿宋_GB2312"/>
                <w:color w:val="000000"/>
                <w:sz w:val="28"/>
                <w:szCs w:val="28"/>
                <w:lang w:val="en"/>
              </w:rPr>
              <w:t>2</w:t>
            </w:r>
            <w:r>
              <w:rPr>
                <w:rFonts w:ascii="仿宋_GB2312" w:hAnsi="仿宋_GB2312" w:eastAsia="宋体" w:cs="仿宋_GB2312"/>
                <w:color w:val="000000"/>
                <w:sz w:val="28"/>
                <w:szCs w:val="28"/>
              </w:rPr>
              <w:t>2</w:t>
            </w:r>
            <w:r>
              <w:rPr>
                <w:rFonts w:hint="eastAsia" w:ascii="仿宋_GB2312" w:hAnsi="仿宋_GB2312" w:eastAsia="仿宋_GB2312" w:cs="仿宋_GB2312"/>
                <w:color w:val="000000"/>
                <w:sz w:val="28"/>
                <w:szCs w:val="28"/>
              </w:rPr>
              <w:t>年</w:t>
            </w:r>
            <w:r>
              <w:rPr>
                <w:rFonts w:hint="default" w:ascii="仿宋_GB2312" w:hAnsi="仿宋_GB2312" w:eastAsia="宋体" w:cs="仿宋_GB2312"/>
                <w:color w:val="000000"/>
                <w:sz w:val="28"/>
                <w:szCs w:val="28"/>
                <w:lang w:val="en"/>
              </w:rPr>
              <w:t>3</w:t>
            </w:r>
            <w:r>
              <w:rPr>
                <w:rFonts w:hint="eastAsia" w:ascii="仿宋_GB2312" w:hAnsi="仿宋_GB2312" w:eastAsia="仿宋_GB2312" w:cs="仿宋_GB2312"/>
                <w:color w:val="000000"/>
                <w:sz w:val="28"/>
                <w:szCs w:val="28"/>
              </w:rPr>
              <w:t>月</w:t>
            </w:r>
            <w:r>
              <w:rPr>
                <w:rFonts w:hint="default" w:ascii="仿宋_GB2312" w:hAnsi="仿宋_GB2312" w:eastAsia="宋体" w:cs="仿宋_GB2312"/>
                <w:color w:val="000000"/>
                <w:sz w:val="28"/>
                <w:szCs w:val="28"/>
                <w:lang w:val="en"/>
              </w:rPr>
              <w:t>4</w:t>
            </w:r>
            <w:r>
              <w:rPr>
                <w:rFonts w:hint="eastAsia" w:ascii="仿宋_GB2312" w:hAnsi="仿宋_GB2312" w:eastAsia="仿宋_GB2312" w:cs="仿宋_GB2312"/>
                <w:color w:val="000000"/>
                <w:sz w:val="28"/>
                <w:szCs w:val="28"/>
              </w:rPr>
              <w:t>日印发</w:t>
            </w:r>
          </w:p>
        </w:tc>
      </w:tr>
    </w:tbl>
    <w:p>
      <w:pPr>
        <w:pStyle w:val="2"/>
        <w:rPr>
          <w:rFonts w:hint="eastAsia"/>
          <w:color w:val="000000"/>
        </w:rPr>
      </w:pPr>
    </w:p>
    <w:p>
      <w:bookmarkStart w:id="23" w:name="_GoBack"/>
      <w:bookmarkEnd w:id="23"/>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B50B7"/>
    <w:multiLevelType w:val="multilevel"/>
    <w:tmpl w:val="075B50B7"/>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81B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qFormat/>
    <w:uiPriority w:val="9"/>
    <w:pPr>
      <w:keepNext/>
      <w:keepLines/>
      <w:spacing w:before="340" w:after="330" w:line="576" w:lineRule="auto"/>
      <w:outlineLvl w:val="0"/>
    </w:pPr>
    <w:rPr>
      <w:b/>
      <w:kern w:val="44"/>
      <w:sz w:val="44"/>
    </w:rPr>
  </w:style>
  <w:style w:type="paragraph" w:styleId="5">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3"/>
    <w:unhideWhenUsed/>
    <w:uiPriority w:val="99"/>
    <w:pPr>
      <w:ind w:firstLine="420"/>
    </w:pPr>
    <w:rPr>
      <w:rFonts w:eastAsia="宋体"/>
    </w:rPr>
  </w:style>
  <w:style w:type="paragraph" w:styleId="3">
    <w:name w:val="envelope return"/>
    <w:basedOn w:val="1"/>
    <w:unhideWhenUsed/>
    <w:uiPriority w:val="99"/>
    <w:pPr>
      <w:snapToGrid w:val="0"/>
    </w:pPr>
    <w:rPr>
      <w:rFonts w:ascii="Arial" w:hAnsi="Arial"/>
    </w:rPr>
  </w:style>
  <w:style w:type="paragraph" w:styleId="6">
    <w:name w:val="footer"/>
    <w:basedOn w:val="1"/>
    <w:unhideWhenUsed/>
    <w:uiPriority w:val="99"/>
    <w:pPr>
      <w:tabs>
        <w:tab w:val="center" w:pos="4153"/>
        <w:tab w:val="right" w:pos="8306"/>
      </w:tabs>
      <w:snapToGrid w:val="0"/>
      <w:jc w:val="left"/>
    </w:pPr>
    <w:rPr>
      <w:sz w:val="18"/>
    </w:rPr>
  </w:style>
  <w:style w:type="paragraph" w:styleId="7">
    <w:name w:val="toc 1"/>
    <w:basedOn w:val="1"/>
    <w:next w:val="1"/>
    <w:unhideWhenUsed/>
    <w:uiPriority w:val="39"/>
  </w:style>
  <w:style w:type="paragraph" w:styleId="8">
    <w:name w:val="toc 2"/>
    <w:basedOn w:val="1"/>
    <w:next w:val="1"/>
    <w:unhideWhenUsed/>
    <w:uiPriority w:val="39"/>
    <w:pPr>
      <w:ind w:left="420" w:leftChars="200"/>
    </w:pPr>
  </w:style>
  <w:style w:type="character" w:styleId="11">
    <w:name w:val="Hyperlink"/>
    <w:basedOn w:val="10"/>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2022-03-07T02:19:05Z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6ED1CE4A1178451C899CFD170E772E39</vt:lpwstr>
  </property>
</Properties>
</file>