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eastAsia="仿宋_GB2312"/>
          <w:sz w:val="32"/>
          <w:szCs w:val="32"/>
        </w:rPr>
      </w:pPr>
    </w:p>
    <w:p>
      <w:pPr>
        <w:adjustRightInd w:val="0"/>
        <w:snapToGrid w:val="0"/>
        <w:spacing w:before="0" w:after="0"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福建省儿童口腔保健规范化门诊建设标准</w:t>
      </w:r>
    </w:p>
    <w:p>
      <w:pPr>
        <w:adjustRightInd w:val="0"/>
        <w:snapToGrid w:val="0"/>
        <w:spacing w:line="590" w:lineRule="exact"/>
        <w:jc w:val="center"/>
        <w:rPr>
          <w:rFonts w:eastAsia="楷体_GB2312"/>
          <w:b/>
          <w:bCs w:val="0"/>
          <w:kern w:val="2"/>
          <w:sz w:val="32"/>
          <w:szCs w:val="32"/>
        </w:rPr>
      </w:pPr>
      <w:r>
        <w:rPr>
          <w:rFonts w:eastAsia="楷体_GB2312"/>
          <w:b/>
          <w:bCs w:val="0"/>
          <w:kern w:val="2"/>
          <w:sz w:val="32"/>
          <w:szCs w:val="32"/>
        </w:rPr>
        <w:t>（试行）</w:t>
      </w:r>
    </w:p>
    <w:p>
      <w:pPr>
        <w:adjustRightInd w:val="0"/>
        <w:snapToGrid w:val="0"/>
        <w:spacing w:line="590" w:lineRule="exact"/>
        <w:rPr>
          <w:rFonts w:eastAsia="仿宋_GB2312"/>
          <w:sz w:val="32"/>
          <w:szCs w:val="32"/>
        </w:rPr>
      </w:pPr>
    </w:p>
    <w:p>
      <w:pPr>
        <w:adjustRightInd w:val="0"/>
        <w:snapToGrid w:val="0"/>
        <w:spacing w:line="590" w:lineRule="exact"/>
        <w:ind w:firstLine="640" w:firstLineChars="200"/>
        <w:rPr>
          <w:rFonts w:hint="eastAsia" w:eastAsia="黑体"/>
          <w:b w:val="0"/>
          <w:bCs w:val="0"/>
          <w:sz w:val="32"/>
          <w:szCs w:val="32"/>
        </w:rPr>
      </w:pPr>
      <w:r>
        <w:rPr>
          <w:rFonts w:hint="eastAsia" w:eastAsia="黑体"/>
          <w:b w:val="0"/>
          <w:bCs w:val="0"/>
          <w:sz w:val="32"/>
          <w:szCs w:val="32"/>
        </w:rPr>
        <w:t>一、省级机构</w:t>
      </w:r>
    </w:p>
    <w:p>
      <w:pPr>
        <w:adjustRightInd w:val="0"/>
        <w:snapToGrid w:val="0"/>
        <w:spacing w:line="590" w:lineRule="exact"/>
        <w:ind w:firstLine="643" w:firstLineChars="200"/>
        <w:rPr>
          <w:rFonts w:eastAsia="楷体_GB2312"/>
          <w:b/>
          <w:sz w:val="32"/>
          <w:szCs w:val="32"/>
        </w:rPr>
      </w:pPr>
      <w:r>
        <w:rPr>
          <w:rFonts w:eastAsia="楷体_GB2312"/>
          <w:b/>
          <w:sz w:val="32"/>
          <w:szCs w:val="32"/>
        </w:rPr>
        <w:t>（一）科室及人员要求</w:t>
      </w:r>
    </w:p>
    <w:p>
      <w:pPr>
        <w:adjustRightInd w:val="0"/>
        <w:snapToGrid w:val="0"/>
        <w:spacing w:line="590" w:lineRule="exact"/>
        <w:ind w:firstLine="640" w:firstLineChars="200"/>
        <w:rPr>
          <w:rFonts w:eastAsia="仿宋_GB2312"/>
          <w:sz w:val="32"/>
          <w:szCs w:val="32"/>
        </w:rPr>
      </w:pPr>
      <w:r>
        <w:rPr>
          <w:rFonts w:eastAsia="仿宋_GB2312"/>
          <w:sz w:val="32"/>
          <w:szCs w:val="32"/>
        </w:rPr>
        <w:t>设有儿童口腔保健科。儿童口腔保健科至少配备</w:t>
      </w:r>
      <w:r>
        <w:rPr>
          <w:rFonts w:hint="eastAsia" w:eastAsia="仿宋_GB2312"/>
          <w:sz w:val="32"/>
          <w:szCs w:val="32"/>
        </w:rPr>
        <w:t>8</w:t>
      </w:r>
      <w:r>
        <w:rPr>
          <w:rFonts w:eastAsia="仿宋_GB2312"/>
          <w:sz w:val="32"/>
          <w:szCs w:val="32"/>
        </w:rPr>
        <w:t>名儿童口腔保健医护人员，其中口腔专业执业医师4名（至少1名</w:t>
      </w:r>
      <w:r>
        <w:rPr>
          <w:rFonts w:hint="eastAsia" w:eastAsia="仿宋_GB2312"/>
          <w:sz w:val="32"/>
          <w:szCs w:val="32"/>
        </w:rPr>
        <w:t>正</w:t>
      </w:r>
      <w:r>
        <w:rPr>
          <w:rFonts w:eastAsia="仿宋_GB2312"/>
          <w:sz w:val="32"/>
          <w:szCs w:val="32"/>
        </w:rPr>
        <w:t>高级专业技术职称），执业护士</w:t>
      </w:r>
      <w:r>
        <w:rPr>
          <w:rFonts w:hint="eastAsia" w:eastAsia="仿宋_GB2312"/>
          <w:sz w:val="32"/>
          <w:szCs w:val="32"/>
        </w:rPr>
        <w:t>4</w:t>
      </w:r>
      <w:r>
        <w:rPr>
          <w:rFonts w:eastAsia="仿宋_GB2312"/>
          <w:sz w:val="32"/>
          <w:szCs w:val="32"/>
        </w:rPr>
        <w:t>名</w:t>
      </w:r>
      <w:r>
        <w:rPr>
          <w:rFonts w:hint="eastAsia" w:eastAsia="仿宋_GB2312"/>
          <w:sz w:val="32"/>
          <w:szCs w:val="32"/>
        </w:rPr>
        <w:t>。</w:t>
      </w:r>
      <w:r>
        <w:rPr>
          <w:rFonts w:eastAsia="仿宋_GB2312"/>
          <w:sz w:val="32"/>
          <w:szCs w:val="32"/>
        </w:rPr>
        <w:t>科室负责人须从事儿童口腔临床诊疗或口腔保健工作5年以上，掌握并执行国家有关口腔保健方面的法律法规。每增设2台口腔综合治疗台，至少增加医师、护士各1名。</w:t>
      </w:r>
    </w:p>
    <w:p>
      <w:pPr>
        <w:adjustRightInd w:val="0"/>
        <w:snapToGrid w:val="0"/>
        <w:spacing w:line="590" w:lineRule="exact"/>
        <w:ind w:firstLine="643" w:firstLineChars="200"/>
        <w:rPr>
          <w:rFonts w:eastAsia="楷体_GB2312"/>
          <w:b/>
          <w:sz w:val="32"/>
          <w:szCs w:val="32"/>
        </w:rPr>
      </w:pPr>
      <w:r>
        <w:rPr>
          <w:rFonts w:eastAsia="楷体_GB2312"/>
          <w:b/>
          <w:sz w:val="32"/>
          <w:szCs w:val="32"/>
        </w:rPr>
        <w:t>（二）设施设备要求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业务用房</w:t>
      </w:r>
    </w:p>
    <w:p>
      <w:pPr>
        <w:adjustRightInd w:val="0"/>
        <w:snapToGrid w:val="0"/>
        <w:spacing w:line="590" w:lineRule="exact"/>
        <w:ind w:firstLine="640" w:firstLineChars="200"/>
        <w:rPr>
          <w:rFonts w:eastAsia="仿宋_GB2312"/>
          <w:sz w:val="32"/>
          <w:szCs w:val="32"/>
        </w:rPr>
      </w:pPr>
      <w:r>
        <w:rPr>
          <w:rFonts w:eastAsia="仿宋_GB2312"/>
          <w:sz w:val="32"/>
          <w:szCs w:val="32"/>
        </w:rPr>
        <w:t>（1）有容纳30人以上</w:t>
      </w:r>
      <w:r>
        <w:rPr>
          <w:rFonts w:hint="eastAsia" w:eastAsia="仿宋_GB2312"/>
          <w:sz w:val="32"/>
          <w:szCs w:val="32"/>
        </w:rPr>
        <w:t>的</w:t>
      </w:r>
      <w:r>
        <w:rPr>
          <w:rFonts w:eastAsia="仿宋_GB2312"/>
          <w:sz w:val="32"/>
          <w:szCs w:val="32"/>
        </w:rPr>
        <w:t>日常宣教室1间（可与家长学校合用</w:t>
      </w:r>
      <w:r>
        <w:rPr>
          <w:rFonts w:hint="eastAsia" w:eastAsia="仿宋_GB2312"/>
          <w:sz w:val="32"/>
          <w:szCs w:val="32"/>
        </w:rPr>
        <w:t>，</w:t>
      </w:r>
      <w:r>
        <w:rPr>
          <w:rFonts w:eastAsia="仿宋_GB2312"/>
          <w:sz w:val="32"/>
          <w:szCs w:val="32"/>
        </w:rPr>
        <w:t>下同）</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（2）诊查室1间、器械准备间1间、治疗室4间</w:t>
      </w:r>
      <w:r>
        <w:rPr>
          <w:rFonts w:hint="eastAsia" w:eastAsia="仿宋_GB2312"/>
          <w:sz w:val="32"/>
          <w:szCs w:val="32"/>
        </w:rPr>
        <w:t>。总</w:t>
      </w:r>
      <w:r>
        <w:rPr>
          <w:rFonts w:eastAsia="仿宋_GB2312"/>
          <w:sz w:val="32"/>
          <w:szCs w:val="32"/>
        </w:rPr>
        <w:t>面积不少于120平方米</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（3）房间设置要符合卫生学布局及流程。设计上符合儿童年龄特点，注重人文关怀，凸显温馨、安全感，减轻儿童恐惧心理。</w:t>
      </w:r>
    </w:p>
    <w:p>
      <w:pPr>
        <w:adjustRightInd w:val="0"/>
        <w:snapToGrid w:val="0"/>
        <w:spacing w:line="59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口腔综合治疗台5台以上。其余设备要求详见附表。</w:t>
      </w:r>
    </w:p>
    <w:p>
      <w:pPr>
        <w:adjustRightInd w:val="0"/>
        <w:snapToGrid w:val="0"/>
        <w:spacing w:line="590" w:lineRule="exact"/>
        <w:ind w:firstLine="643" w:firstLineChars="200"/>
        <w:rPr>
          <w:rFonts w:eastAsia="楷体_GB2312"/>
          <w:b/>
          <w:sz w:val="32"/>
          <w:szCs w:val="32"/>
        </w:rPr>
      </w:pPr>
      <w:r>
        <w:rPr>
          <w:rFonts w:eastAsia="楷体_GB2312"/>
          <w:b/>
          <w:sz w:val="32"/>
          <w:szCs w:val="32"/>
        </w:rPr>
        <w:t>（三）职责及服务水平</w:t>
      </w:r>
    </w:p>
    <w:p>
      <w:pPr>
        <w:adjustRightInd w:val="0"/>
        <w:snapToGrid w:val="0"/>
        <w:spacing w:line="590" w:lineRule="exact"/>
        <w:ind w:firstLine="640" w:firstLineChars="200"/>
        <w:rPr>
          <w:rFonts w:eastAsia="仿宋_GB2312"/>
          <w:sz w:val="32"/>
          <w:szCs w:val="32"/>
        </w:rPr>
      </w:pPr>
      <w:r>
        <w:rPr>
          <w:rFonts w:eastAsia="仿宋_GB2312"/>
          <w:sz w:val="32"/>
          <w:szCs w:val="32"/>
        </w:rPr>
        <w:t>为儿童口腔保健三级服务网络的省级管理和技术指导单位，配合省级卫生计生行政部门逐步建立和完善全省口腔保健服务体系，提高全省儿童口腔健康水平。</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落实国家卫生计生委制定的相关管理和技术规范；协助省级卫生计生行政部门制定全省儿童口腔保健工作发展规划、管理及技术规范，完成卫生计生行政部门委托的儿童口腔保健相关业务的培训、督导、质量控制、考核评估和健康宣传等工作。</w:t>
      </w:r>
    </w:p>
    <w:p>
      <w:pPr>
        <w:adjustRightInd w:val="0"/>
        <w:snapToGrid w:val="0"/>
        <w:spacing w:line="59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highlight w:val="none"/>
        </w:rPr>
        <w:t>儿童口腔保健门诊及儿童口腔健康筛查服务量大于3万人次。开展0</w:t>
      </w:r>
      <w:r>
        <w:rPr>
          <w:rFonts w:eastAsia="仿宋_GB2312"/>
          <w:sz w:val="32"/>
          <w:szCs w:val="32"/>
        </w:rPr>
        <w:t>－</w:t>
      </w:r>
      <w:r>
        <w:rPr>
          <w:rFonts w:hint="default" w:eastAsia="仿宋_GB2312"/>
          <w:sz w:val="32"/>
          <w:szCs w:val="32"/>
          <w:highlight w:val="none"/>
        </w:rPr>
        <w:t>3</w:t>
      </w:r>
      <w:r>
        <w:rPr>
          <w:rFonts w:eastAsia="仿宋_GB2312"/>
          <w:sz w:val="32"/>
          <w:szCs w:val="32"/>
          <w:highlight w:val="none"/>
        </w:rPr>
        <w:t>岁婴幼儿口腔健康体检，检查率达80</w:t>
      </w:r>
      <w:r>
        <w:rPr>
          <w:rFonts w:eastAsia="仿宋_GB2312"/>
          <w:sz w:val="32"/>
          <w:szCs w:val="32"/>
        </w:rPr>
        <w:t>％</w:t>
      </w:r>
      <w:r>
        <w:rPr>
          <w:rFonts w:eastAsia="仿宋_GB2312"/>
          <w:sz w:val="32"/>
          <w:szCs w:val="32"/>
          <w:highlight w:val="none"/>
        </w:rPr>
        <w:t>以上，并逐年提高。</w:t>
      </w:r>
      <w:r>
        <w:rPr>
          <w:rFonts w:eastAsia="仿宋_GB2312"/>
          <w:sz w:val="32"/>
          <w:szCs w:val="32"/>
        </w:rPr>
        <w:t>对所辖3~6群体儿童进行口腔疾病筛查及龋病预防，筛查覆盖率达</w:t>
      </w:r>
      <w:r>
        <w:rPr>
          <w:rFonts w:hint="eastAsia" w:eastAsia="仿宋_GB2312"/>
          <w:sz w:val="32"/>
          <w:szCs w:val="32"/>
        </w:rPr>
        <w:t>80</w:t>
      </w:r>
      <w:r>
        <w:rPr>
          <w:rFonts w:eastAsia="仿宋_GB2312"/>
          <w:sz w:val="32"/>
          <w:szCs w:val="32"/>
        </w:rPr>
        <w:t>％以上，龋病预防覆盖率达</w:t>
      </w:r>
      <w:r>
        <w:rPr>
          <w:rFonts w:hint="eastAsia" w:eastAsia="仿宋_GB2312"/>
          <w:sz w:val="32"/>
          <w:szCs w:val="32"/>
        </w:rPr>
        <w:t>90</w:t>
      </w:r>
      <w:r>
        <w:rPr>
          <w:rFonts w:eastAsia="仿宋_GB2312"/>
          <w:sz w:val="32"/>
          <w:szCs w:val="32"/>
        </w:rPr>
        <w:t>％以上，龋病治疗率达</w:t>
      </w:r>
      <w:r>
        <w:rPr>
          <w:rFonts w:hint="eastAsia" w:eastAsia="仿宋_GB2312"/>
          <w:sz w:val="32"/>
          <w:szCs w:val="32"/>
        </w:rPr>
        <w:t>6</w:t>
      </w:r>
      <w:r>
        <w:rPr>
          <w:rFonts w:eastAsia="仿宋_GB2312"/>
          <w:sz w:val="32"/>
          <w:szCs w:val="32"/>
        </w:rPr>
        <w:t>0％以上，并逐年提高；推进适龄儿童窝沟封闭技术的开展，不断提高全省儿童窝沟封闭率。逐步将服务覆盖辖区内</w:t>
      </w:r>
      <w:r>
        <w:rPr>
          <w:rFonts w:hint="eastAsia" w:eastAsia="仿宋_GB2312"/>
          <w:sz w:val="32"/>
          <w:szCs w:val="32"/>
        </w:rPr>
        <w:t>7</w:t>
      </w:r>
      <w:r>
        <w:rPr>
          <w:rFonts w:eastAsia="仿宋_GB2312"/>
          <w:sz w:val="32"/>
          <w:szCs w:val="32"/>
        </w:rPr>
        <w:t>－14岁中、小学生。</w:t>
      </w:r>
    </w:p>
    <w:p>
      <w:pPr>
        <w:adjustRightInd w:val="0"/>
        <w:snapToGrid w:val="0"/>
        <w:spacing w:line="59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开展儿童口腔常见病、多发病及疑难病例的预防和诊疗工作。</w:t>
      </w:r>
    </w:p>
    <w:p>
      <w:pPr>
        <w:adjustRightInd w:val="0"/>
        <w:snapToGrid w:val="0"/>
        <w:spacing w:line="59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负责全省儿童口腔保健适宜技术的推广和使用，为下级医疗保健机构开展儿童口腔保健工作提供技术支持，接收下级转诊的疑难病例。定期开展技术培训、督查考核和质量控制。</w:t>
      </w:r>
    </w:p>
    <w:p>
      <w:pPr>
        <w:adjustRightInd w:val="0"/>
        <w:snapToGrid w:val="0"/>
        <w:spacing w:line="59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动态掌握全省儿童口腔健康问题的流行病学特征及干预措施实施情况，定期做好相关资料的统计分析及报告，开展儿童口腔健康相关科学研究，提出科学防治意见和建议供行政决策参考。</w:t>
      </w:r>
    </w:p>
    <w:p>
      <w:pPr>
        <w:adjustRightInd w:val="0"/>
        <w:snapToGrid w:val="0"/>
        <w:spacing w:line="59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制定全省儿童口腔保健健康宣传计划，编制儿童口腔保健健康教育宣传材料，定期开展儿童口腔保健公益活动，对儿童家长进行口腔保健知识宣教及喂养方式指导，预防口腔疾病和口腔不良习惯形成。</w:t>
      </w:r>
    </w:p>
    <w:p>
      <w:pPr>
        <w:adjustRightInd w:val="0"/>
        <w:snapToGrid w:val="0"/>
        <w:spacing w:line="59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建立健全并严格执行本专科相关规范和制度，包括本专科基本岗位职责、主要诊疗规范和管理制度。基本岗位职责：包括诊疗、咨询指导、健康教育、随访等岗位职责。主要诊疗规范：</w:t>
      </w:r>
      <w:r>
        <w:rPr>
          <w:rFonts w:hint="eastAsia" w:eastAsia="仿宋_GB2312"/>
          <w:sz w:val="32"/>
          <w:szCs w:val="32"/>
        </w:rPr>
        <w:t>包括</w:t>
      </w:r>
      <w:r>
        <w:rPr>
          <w:rFonts w:eastAsia="仿宋_GB2312"/>
          <w:sz w:val="32"/>
          <w:szCs w:val="32"/>
        </w:rPr>
        <w:t>常见儿童</w:t>
      </w:r>
      <w:r>
        <w:rPr>
          <w:rFonts w:hint="eastAsia" w:eastAsia="仿宋_GB2312"/>
          <w:sz w:val="32"/>
          <w:szCs w:val="32"/>
        </w:rPr>
        <w:t>口腔</w:t>
      </w:r>
      <w:r>
        <w:rPr>
          <w:rFonts w:eastAsia="仿宋_GB2312"/>
          <w:sz w:val="32"/>
          <w:szCs w:val="32"/>
        </w:rPr>
        <w:t>病诊疗规范、主要设备操作规范等。主要管理制度：包括专科工作制度、质量控制制度、疑难病例讨论制度、健康教育制度、设备管理制度、院内及辖区转会诊制度、随访制度、培训工作制度、基层指导工作制度、信息资料管理制度、统计工作制度等。</w:t>
      </w:r>
    </w:p>
    <w:p>
      <w:pPr>
        <w:adjustRightInd w:val="0"/>
        <w:snapToGrid w:val="0"/>
        <w:spacing w:line="59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 xml:space="preserve"> 规范</w:t>
      </w:r>
      <w:r>
        <w:rPr>
          <w:rFonts w:eastAsia="仿宋_GB2312"/>
          <w:sz w:val="32"/>
          <w:szCs w:val="32"/>
        </w:rPr>
        <w:t>服务记录表单。包括门诊登记表、筛查登记表、专案管理档案、知情同意书、辅助检查申请及报告单、转会诊与反馈登记表、随访登记表、辖区督导记录单等。各种记录应当及时、完整、准确、规范，资料定期归档整理，实施电子化管理。</w:t>
      </w:r>
    </w:p>
    <w:p>
      <w:pPr>
        <w:adjustRightInd w:val="0"/>
        <w:snapToGrid w:val="0"/>
        <w:spacing w:line="590" w:lineRule="exact"/>
        <w:ind w:firstLine="640" w:firstLineChars="200"/>
        <w:rPr>
          <w:rFonts w:hint="eastAsia" w:eastAsia="黑体"/>
          <w:b w:val="0"/>
          <w:bCs w:val="0"/>
          <w:sz w:val="32"/>
          <w:szCs w:val="32"/>
        </w:rPr>
      </w:pPr>
      <w:r>
        <w:rPr>
          <w:rFonts w:hint="eastAsia" w:eastAsia="黑体"/>
          <w:b w:val="0"/>
          <w:bCs w:val="0"/>
          <w:sz w:val="32"/>
          <w:szCs w:val="32"/>
        </w:rPr>
        <w:t>二、市级机构</w:t>
      </w:r>
    </w:p>
    <w:p>
      <w:pPr>
        <w:adjustRightInd w:val="0"/>
        <w:snapToGrid w:val="0"/>
        <w:spacing w:line="590" w:lineRule="exact"/>
        <w:ind w:firstLine="643" w:firstLineChars="200"/>
        <w:rPr>
          <w:rFonts w:eastAsia="楷体_GB2312"/>
          <w:b/>
          <w:sz w:val="32"/>
          <w:szCs w:val="32"/>
        </w:rPr>
      </w:pPr>
      <w:r>
        <w:rPr>
          <w:rFonts w:eastAsia="楷体_GB2312"/>
          <w:b/>
          <w:sz w:val="32"/>
          <w:szCs w:val="32"/>
        </w:rPr>
        <w:t>（一）科室及人员要求</w:t>
      </w:r>
    </w:p>
    <w:p>
      <w:pPr>
        <w:adjustRightInd w:val="0"/>
        <w:snapToGrid w:val="0"/>
        <w:spacing w:line="590" w:lineRule="exact"/>
        <w:ind w:firstLine="640" w:firstLineChars="200"/>
        <w:rPr>
          <w:rFonts w:eastAsia="仿宋_GB2312"/>
          <w:sz w:val="32"/>
          <w:szCs w:val="32"/>
        </w:rPr>
      </w:pPr>
      <w:r>
        <w:rPr>
          <w:rFonts w:eastAsia="仿宋_GB2312"/>
          <w:sz w:val="32"/>
          <w:szCs w:val="32"/>
        </w:rPr>
        <w:t>设有儿童口腔保健科。儿童口腔保健科至少配备</w:t>
      </w:r>
      <w:r>
        <w:rPr>
          <w:rFonts w:hint="eastAsia" w:eastAsia="仿宋_GB2312"/>
          <w:sz w:val="32"/>
          <w:szCs w:val="32"/>
        </w:rPr>
        <w:t>6</w:t>
      </w:r>
      <w:r>
        <w:rPr>
          <w:rFonts w:eastAsia="仿宋_GB2312"/>
          <w:sz w:val="32"/>
          <w:szCs w:val="32"/>
        </w:rPr>
        <w:t>名儿童口腔保健医护人员，其中医师3名（至少1名副高级专业技术职称）</w:t>
      </w:r>
      <w:r>
        <w:rPr>
          <w:rFonts w:hint="eastAsia" w:eastAsia="仿宋_GB2312"/>
          <w:sz w:val="32"/>
          <w:szCs w:val="32"/>
        </w:rPr>
        <w:t>、</w:t>
      </w:r>
      <w:r>
        <w:rPr>
          <w:rFonts w:eastAsia="仿宋_GB2312"/>
          <w:sz w:val="32"/>
          <w:szCs w:val="32"/>
        </w:rPr>
        <w:t>护士</w:t>
      </w:r>
      <w:r>
        <w:rPr>
          <w:rFonts w:hint="eastAsia" w:eastAsia="仿宋_GB2312"/>
          <w:sz w:val="32"/>
          <w:szCs w:val="32"/>
        </w:rPr>
        <w:t>3</w:t>
      </w:r>
      <w:r>
        <w:rPr>
          <w:rFonts w:eastAsia="仿宋_GB2312"/>
          <w:sz w:val="32"/>
          <w:szCs w:val="32"/>
        </w:rPr>
        <w:t>名，医师须从事儿童口腔临床诊疗或口腔保健工作3年以上，应掌握并执行国家有关口腔保健方面的法律法规。每增设2台口腔综合治疗台，至少增加1名医师、护士各1名。</w:t>
      </w:r>
    </w:p>
    <w:p>
      <w:pPr>
        <w:adjustRightInd w:val="0"/>
        <w:snapToGrid w:val="0"/>
        <w:spacing w:line="590" w:lineRule="exact"/>
        <w:ind w:firstLine="643" w:firstLineChars="200"/>
        <w:rPr>
          <w:rFonts w:eastAsia="楷体_GB2312"/>
          <w:b/>
          <w:sz w:val="32"/>
          <w:szCs w:val="32"/>
        </w:rPr>
      </w:pPr>
      <w:r>
        <w:rPr>
          <w:rFonts w:eastAsia="楷体_GB2312"/>
          <w:b/>
          <w:sz w:val="32"/>
          <w:szCs w:val="32"/>
        </w:rPr>
        <w:t>（二）设施及设备要求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业务用房</w:t>
      </w:r>
    </w:p>
    <w:p>
      <w:pPr>
        <w:adjustRightInd w:val="0"/>
        <w:snapToGrid w:val="0"/>
        <w:spacing w:line="590" w:lineRule="exact"/>
        <w:ind w:firstLine="640" w:firstLineChars="200"/>
        <w:rPr>
          <w:rFonts w:eastAsia="仿宋_GB2312"/>
          <w:sz w:val="32"/>
          <w:szCs w:val="32"/>
        </w:rPr>
      </w:pPr>
      <w:r>
        <w:rPr>
          <w:rFonts w:eastAsia="仿宋_GB2312"/>
          <w:sz w:val="32"/>
          <w:szCs w:val="32"/>
        </w:rPr>
        <w:t>（1）有容纳20人</w:t>
      </w:r>
      <w:r>
        <w:rPr>
          <w:rFonts w:hint="eastAsia" w:eastAsia="仿宋_GB2312"/>
          <w:sz w:val="32"/>
          <w:szCs w:val="32"/>
        </w:rPr>
        <w:t>以上的</w:t>
      </w:r>
      <w:r>
        <w:rPr>
          <w:rFonts w:eastAsia="仿宋_GB2312"/>
          <w:sz w:val="32"/>
          <w:szCs w:val="32"/>
        </w:rPr>
        <w:t>日常宣教室1间</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（2）诊查室1间，器械准备间1间，治疗室3间</w:t>
      </w:r>
      <w:r>
        <w:rPr>
          <w:rFonts w:hint="eastAsia" w:eastAsia="仿宋_GB2312"/>
          <w:sz w:val="32"/>
          <w:szCs w:val="32"/>
        </w:rPr>
        <w:t>。总面积不</w:t>
      </w:r>
      <w:r>
        <w:rPr>
          <w:rFonts w:eastAsia="仿宋_GB2312"/>
          <w:sz w:val="32"/>
          <w:szCs w:val="32"/>
        </w:rPr>
        <w:t>少于100平方米</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（3）房间设置要符合卫生学布局及流程。设计上符合儿童年龄特点，注重人文关怀，凸显温馨、安全感，减轻儿童恐惧心理。</w:t>
      </w:r>
    </w:p>
    <w:p>
      <w:pPr>
        <w:adjustRightInd w:val="0"/>
        <w:snapToGrid w:val="0"/>
        <w:spacing w:line="59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口腔综合治疗台4台以上。其余设备要求详见附表。</w:t>
      </w:r>
    </w:p>
    <w:p>
      <w:pPr>
        <w:adjustRightInd w:val="0"/>
        <w:snapToGrid w:val="0"/>
        <w:spacing w:line="590" w:lineRule="exact"/>
        <w:ind w:firstLine="643" w:firstLineChars="200"/>
        <w:rPr>
          <w:rFonts w:eastAsia="楷体_GB2312"/>
          <w:b/>
          <w:sz w:val="32"/>
          <w:szCs w:val="32"/>
        </w:rPr>
      </w:pPr>
      <w:r>
        <w:rPr>
          <w:rFonts w:eastAsia="楷体_GB2312"/>
          <w:b/>
          <w:sz w:val="32"/>
          <w:szCs w:val="32"/>
        </w:rPr>
        <w:t>（三）服务水平</w:t>
      </w:r>
    </w:p>
    <w:p>
      <w:pPr>
        <w:adjustRightInd w:val="0"/>
        <w:snapToGrid w:val="0"/>
        <w:spacing w:line="590" w:lineRule="exact"/>
        <w:ind w:firstLine="640" w:firstLineChars="200"/>
        <w:rPr>
          <w:rFonts w:eastAsia="仿宋_GB2312"/>
          <w:sz w:val="32"/>
          <w:szCs w:val="32"/>
        </w:rPr>
      </w:pPr>
      <w:r>
        <w:rPr>
          <w:rFonts w:eastAsia="仿宋_GB2312"/>
          <w:sz w:val="32"/>
          <w:szCs w:val="32"/>
        </w:rPr>
        <w:t>为儿童口腔保健三级服务网络的市级管理和技术指导单位，配合市级卫生计生行政部门逐步建立和完善辖区内儿童口腔保健服务网络，提高辖区儿童口腔健康水平。</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落实国家和省卫生计生行政部门制定的儿童口腔保健发展规划、管理和技术规范。完成省、市卫生计生行政部门委托的儿童口腔保健相关业务的培训、督导、质量控制、考核评估和健康宣传等工作。</w:t>
      </w:r>
    </w:p>
    <w:p>
      <w:pPr>
        <w:adjustRightInd w:val="0"/>
        <w:snapToGrid w:val="0"/>
        <w:spacing w:line="590" w:lineRule="exact"/>
        <w:ind w:firstLine="640" w:firstLineChars="200"/>
        <w:rPr>
          <w:rFonts w:eastAsia="仿宋_GB2312"/>
          <w:sz w:val="32"/>
          <w:szCs w:val="32"/>
          <w:highlight w:val="none"/>
        </w:rPr>
      </w:pPr>
      <w:r>
        <w:rPr>
          <w:rFonts w:eastAsia="仿宋_GB2312"/>
          <w:sz w:val="32"/>
          <w:szCs w:val="32"/>
        </w:rPr>
        <w:t>2.</w:t>
      </w:r>
      <w:r>
        <w:rPr>
          <w:rFonts w:hint="eastAsia" w:eastAsia="仿宋_GB2312"/>
          <w:sz w:val="32"/>
          <w:szCs w:val="32"/>
        </w:rPr>
        <w:t xml:space="preserve"> </w:t>
      </w:r>
      <w:r>
        <w:rPr>
          <w:rFonts w:eastAsia="仿宋_GB2312"/>
          <w:sz w:val="32"/>
          <w:szCs w:val="32"/>
          <w:highlight w:val="none"/>
        </w:rPr>
        <w:t>儿童口腔保健门诊及儿童口腔健康筛查服务量大于2万人次；开展0</w:t>
      </w:r>
      <w:r>
        <w:rPr>
          <w:rFonts w:eastAsia="仿宋_GB2312"/>
          <w:sz w:val="32"/>
          <w:szCs w:val="32"/>
        </w:rPr>
        <w:t>－</w:t>
      </w:r>
      <w:r>
        <w:rPr>
          <w:rFonts w:hint="default" w:eastAsia="仿宋_GB2312"/>
          <w:sz w:val="32"/>
          <w:szCs w:val="32"/>
          <w:highlight w:val="none"/>
        </w:rPr>
        <w:t>3</w:t>
      </w:r>
      <w:r>
        <w:rPr>
          <w:rFonts w:eastAsia="仿宋_GB2312"/>
          <w:sz w:val="32"/>
          <w:szCs w:val="32"/>
          <w:highlight w:val="none"/>
        </w:rPr>
        <w:t>岁婴幼儿口腔健康体检，检查率达80</w:t>
      </w:r>
      <w:r>
        <w:rPr>
          <w:rFonts w:eastAsia="仿宋_GB2312"/>
          <w:sz w:val="32"/>
          <w:szCs w:val="32"/>
        </w:rPr>
        <w:t>％</w:t>
      </w:r>
      <w:r>
        <w:rPr>
          <w:rFonts w:eastAsia="仿宋_GB2312"/>
          <w:sz w:val="32"/>
          <w:szCs w:val="32"/>
          <w:highlight w:val="none"/>
        </w:rPr>
        <w:t>以上，并逐年提高。</w:t>
      </w:r>
      <w:r>
        <w:rPr>
          <w:rFonts w:eastAsia="仿宋_GB2312"/>
          <w:sz w:val="32"/>
          <w:szCs w:val="32"/>
        </w:rPr>
        <w:t>对所辖3~6群体儿童进行口腔疾病筛查及龋病预防，筛查覆盖率达</w:t>
      </w:r>
      <w:r>
        <w:rPr>
          <w:rFonts w:hint="eastAsia" w:eastAsia="仿宋_GB2312"/>
          <w:sz w:val="32"/>
          <w:szCs w:val="32"/>
        </w:rPr>
        <w:t>80</w:t>
      </w:r>
      <w:r>
        <w:rPr>
          <w:rFonts w:eastAsia="仿宋_GB2312"/>
          <w:sz w:val="32"/>
          <w:szCs w:val="32"/>
        </w:rPr>
        <w:t>％以上，龋病预防覆盖率达</w:t>
      </w:r>
      <w:r>
        <w:rPr>
          <w:rFonts w:hint="eastAsia" w:eastAsia="仿宋_GB2312"/>
          <w:sz w:val="32"/>
          <w:szCs w:val="32"/>
        </w:rPr>
        <w:t>90</w:t>
      </w:r>
      <w:r>
        <w:rPr>
          <w:rFonts w:eastAsia="仿宋_GB2312"/>
          <w:sz w:val="32"/>
          <w:szCs w:val="32"/>
        </w:rPr>
        <w:t>％以上，龋病治疗率达</w:t>
      </w:r>
      <w:r>
        <w:rPr>
          <w:rFonts w:hint="eastAsia" w:eastAsia="仿宋_GB2312"/>
          <w:sz w:val="32"/>
          <w:szCs w:val="32"/>
        </w:rPr>
        <w:t>6</w:t>
      </w:r>
      <w:r>
        <w:rPr>
          <w:rFonts w:eastAsia="仿宋_GB2312"/>
          <w:sz w:val="32"/>
          <w:szCs w:val="32"/>
        </w:rPr>
        <w:t>0％以上，并逐年提高；推进适龄儿童窝沟封闭技术的开展，不断提高辖区儿童窝沟封闭率。并逐步将服务覆盖辖区内7－14岁中、小学生。</w:t>
      </w:r>
    </w:p>
    <w:p>
      <w:pPr>
        <w:adjustRightInd w:val="0"/>
        <w:snapToGrid w:val="0"/>
        <w:spacing w:line="59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开展儿童口腔常见病、多发病及疑难病例的预防和诊疗工作。</w:t>
      </w:r>
    </w:p>
    <w:p>
      <w:pPr>
        <w:adjustRightInd w:val="0"/>
        <w:snapToGrid w:val="0"/>
        <w:spacing w:line="59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定期参加业务培训，负责辖区内儿童口腔保健适宜技术的推广和使用，为下级医疗保健机构开展儿童口腔保健工作提供技术支持，接收或向上转诊下级转诊的疑难病例。定期开展技术培训、督查考核和质量控制。</w:t>
      </w:r>
    </w:p>
    <w:p>
      <w:pPr>
        <w:adjustRightInd w:val="0"/>
        <w:snapToGrid w:val="0"/>
        <w:spacing w:line="59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掌握辖区儿童口腔健康问题的流行病学特征及干预措施实施情况，定期做好相关资料的统计分析及报告，开展儿童口腔健康相关科学研究，提出科学防治意见和建议供行政决策参考。</w:t>
      </w:r>
    </w:p>
    <w:p>
      <w:pPr>
        <w:adjustRightInd w:val="0"/>
        <w:snapToGrid w:val="0"/>
        <w:spacing w:line="59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开展儿童口腔保健健康宣传工作，定期开展儿童口腔保健公益活动，对儿童家长进行口腔保健知识宣教及喂养方式指导，预防口腔疾病和口腔不良习惯形成。</w:t>
      </w:r>
    </w:p>
    <w:p>
      <w:pPr>
        <w:adjustRightInd w:val="0"/>
        <w:snapToGrid w:val="0"/>
        <w:spacing w:line="59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建立健全并严格执行本专科相关规范和制度，包括本专科基本岗位职责、主要诊疗规范和管理制度。基本岗位职责：包括诊疗、咨询指导、健康教育、随访等岗位职责。主要诊疗规范：包括常见儿童口腔病异常诊疗规范、主要设备操作规范等。主要管理制度：包括专科工作制度、质量控制制度、疑难病例讨论制度、健康教育制度、设备管理制度、院内及辖区转会诊制度、随访制度、培训工作制度、基层指导工作制度、信息资料管理制度、统计工作制度等。</w:t>
      </w:r>
    </w:p>
    <w:p>
      <w:pPr>
        <w:adjustRightInd w:val="0"/>
        <w:snapToGrid w:val="0"/>
        <w:spacing w:line="59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 xml:space="preserve"> 认真填报相关服务</w:t>
      </w:r>
      <w:r>
        <w:rPr>
          <w:rFonts w:eastAsia="仿宋_GB2312"/>
          <w:sz w:val="32"/>
          <w:szCs w:val="32"/>
        </w:rPr>
        <w:t>记录表单。</w:t>
      </w:r>
    </w:p>
    <w:p>
      <w:pPr>
        <w:adjustRightInd w:val="0"/>
        <w:snapToGrid w:val="0"/>
        <w:spacing w:line="590" w:lineRule="exact"/>
        <w:ind w:firstLine="640" w:firstLineChars="200"/>
        <w:rPr>
          <w:rFonts w:hint="eastAsia" w:eastAsia="黑体"/>
          <w:b w:val="0"/>
          <w:bCs w:val="0"/>
          <w:sz w:val="32"/>
          <w:szCs w:val="32"/>
        </w:rPr>
      </w:pPr>
      <w:r>
        <w:rPr>
          <w:rFonts w:hint="eastAsia" w:eastAsia="黑体"/>
          <w:b w:val="0"/>
          <w:bCs w:val="0"/>
          <w:sz w:val="32"/>
          <w:szCs w:val="32"/>
        </w:rPr>
        <w:t>三、县级机构</w:t>
      </w:r>
    </w:p>
    <w:p>
      <w:pPr>
        <w:adjustRightInd w:val="0"/>
        <w:snapToGrid w:val="0"/>
        <w:spacing w:line="590" w:lineRule="exact"/>
        <w:ind w:firstLine="643" w:firstLineChars="200"/>
        <w:rPr>
          <w:rFonts w:eastAsia="楷体_GB2312"/>
          <w:b/>
          <w:sz w:val="32"/>
          <w:szCs w:val="32"/>
        </w:rPr>
      </w:pPr>
      <w:r>
        <w:rPr>
          <w:rFonts w:eastAsia="楷体_GB2312"/>
          <w:b/>
          <w:sz w:val="32"/>
          <w:szCs w:val="32"/>
        </w:rPr>
        <w:t>（一）科室及人员要求</w:t>
      </w:r>
    </w:p>
    <w:p>
      <w:pPr>
        <w:adjustRightInd w:val="0"/>
        <w:snapToGrid w:val="0"/>
        <w:spacing w:line="590" w:lineRule="exact"/>
        <w:ind w:firstLine="640" w:firstLineChars="200"/>
        <w:rPr>
          <w:rFonts w:eastAsia="仿宋_GB2312"/>
          <w:sz w:val="32"/>
          <w:szCs w:val="32"/>
        </w:rPr>
      </w:pPr>
      <w:r>
        <w:rPr>
          <w:rFonts w:eastAsia="仿宋_GB2312"/>
          <w:sz w:val="32"/>
          <w:szCs w:val="32"/>
        </w:rPr>
        <w:t>设有儿童口腔保健科。儿童口腔保健科至少配备</w:t>
      </w:r>
      <w:r>
        <w:rPr>
          <w:rFonts w:hint="eastAsia" w:eastAsia="仿宋_GB2312"/>
          <w:sz w:val="32"/>
          <w:szCs w:val="32"/>
        </w:rPr>
        <w:t>4</w:t>
      </w:r>
      <w:r>
        <w:rPr>
          <w:rFonts w:eastAsia="仿宋_GB2312"/>
          <w:sz w:val="32"/>
          <w:szCs w:val="32"/>
        </w:rPr>
        <w:t>名儿童口腔保健医护人员，其中医师、护士各</w:t>
      </w:r>
      <w:r>
        <w:rPr>
          <w:rFonts w:hint="eastAsia" w:eastAsia="仿宋_GB2312"/>
          <w:sz w:val="32"/>
          <w:szCs w:val="32"/>
        </w:rPr>
        <w:t>2</w:t>
      </w:r>
      <w:r>
        <w:rPr>
          <w:rFonts w:eastAsia="仿宋_GB2312"/>
          <w:sz w:val="32"/>
          <w:szCs w:val="32"/>
        </w:rPr>
        <w:t>名，应掌握并执行国家有关口腔保健方面的法律法规。每增设2台口腔综合治疗台，至少增医师、护士各1名。口腔综合治疗椅3台以上的，至少应有1名中级以上职称的医师。</w:t>
      </w:r>
    </w:p>
    <w:p>
      <w:pPr>
        <w:adjustRightInd w:val="0"/>
        <w:snapToGrid w:val="0"/>
        <w:spacing w:line="590" w:lineRule="exact"/>
        <w:ind w:firstLine="643" w:firstLineChars="200"/>
        <w:rPr>
          <w:rFonts w:eastAsia="楷体_GB2312"/>
          <w:b/>
          <w:sz w:val="32"/>
          <w:szCs w:val="32"/>
        </w:rPr>
      </w:pPr>
      <w:r>
        <w:rPr>
          <w:rFonts w:eastAsia="楷体_GB2312"/>
          <w:b/>
          <w:sz w:val="32"/>
          <w:szCs w:val="32"/>
        </w:rPr>
        <w:t>（二）设施设备要求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业务用房</w:t>
      </w:r>
    </w:p>
    <w:p>
      <w:pPr>
        <w:adjustRightInd w:val="0"/>
        <w:snapToGrid w:val="0"/>
        <w:spacing w:line="590" w:lineRule="exact"/>
        <w:ind w:firstLine="640" w:firstLineChars="200"/>
        <w:rPr>
          <w:rFonts w:eastAsia="仿宋_GB2312"/>
          <w:sz w:val="32"/>
          <w:szCs w:val="32"/>
        </w:rPr>
      </w:pPr>
      <w:r>
        <w:rPr>
          <w:rFonts w:eastAsia="仿宋_GB2312"/>
          <w:sz w:val="32"/>
          <w:szCs w:val="32"/>
        </w:rPr>
        <w:t>（1）有容纳10人</w:t>
      </w:r>
      <w:r>
        <w:rPr>
          <w:rFonts w:hint="eastAsia" w:eastAsia="仿宋_GB2312"/>
          <w:sz w:val="32"/>
          <w:szCs w:val="32"/>
        </w:rPr>
        <w:t>以上的</w:t>
      </w:r>
      <w:r>
        <w:rPr>
          <w:rFonts w:eastAsia="仿宋_GB2312"/>
          <w:sz w:val="32"/>
          <w:szCs w:val="32"/>
        </w:rPr>
        <w:t>宣教室1间</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（2）诊查室1间，器械准备间1间，治疗室1间</w:t>
      </w:r>
      <w:r>
        <w:rPr>
          <w:rFonts w:hint="eastAsia" w:eastAsia="仿宋_GB2312"/>
          <w:sz w:val="32"/>
          <w:szCs w:val="32"/>
        </w:rPr>
        <w:t>。总</w:t>
      </w:r>
      <w:r>
        <w:rPr>
          <w:rFonts w:eastAsia="仿宋_GB2312"/>
          <w:sz w:val="32"/>
          <w:szCs w:val="32"/>
        </w:rPr>
        <w:t>面积不少于</w:t>
      </w:r>
      <w:r>
        <w:rPr>
          <w:rFonts w:hint="eastAsia" w:eastAsia="仿宋_GB2312"/>
          <w:sz w:val="32"/>
          <w:szCs w:val="32"/>
        </w:rPr>
        <w:t>6</w:t>
      </w:r>
      <w:r>
        <w:rPr>
          <w:rFonts w:eastAsia="仿宋_GB2312"/>
          <w:sz w:val="32"/>
          <w:szCs w:val="32"/>
        </w:rPr>
        <w:t>0m</w:t>
      </w:r>
      <w:r>
        <w:rPr>
          <w:rFonts w:eastAsia="仿宋_GB2312"/>
          <w:sz w:val="32"/>
          <w:szCs w:val="32"/>
          <w:vertAlign w:val="superscript"/>
        </w:rPr>
        <w:t>2</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（3）房间设置要符合卫生学布局及流程。设计上符合儿童年龄特点，注重人文关怀，凸显温馨、安全感，减轻儿童恐惧心理。</w:t>
      </w:r>
    </w:p>
    <w:p>
      <w:pPr>
        <w:adjustRightInd w:val="0"/>
        <w:snapToGrid w:val="0"/>
        <w:spacing w:line="59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口腔综合治疗台</w:t>
      </w:r>
      <w:r>
        <w:rPr>
          <w:rFonts w:hint="eastAsia" w:eastAsia="仿宋_GB2312"/>
          <w:sz w:val="32"/>
          <w:szCs w:val="32"/>
        </w:rPr>
        <w:t>2</w:t>
      </w:r>
      <w:r>
        <w:rPr>
          <w:rFonts w:eastAsia="仿宋_GB2312"/>
          <w:sz w:val="32"/>
          <w:szCs w:val="32"/>
        </w:rPr>
        <w:t>台以上。其余设备要求详见附表。</w:t>
      </w:r>
    </w:p>
    <w:p>
      <w:pPr>
        <w:adjustRightInd w:val="0"/>
        <w:snapToGrid w:val="0"/>
        <w:spacing w:line="590" w:lineRule="exact"/>
        <w:ind w:firstLine="643" w:firstLineChars="200"/>
        <w:rPr>
          <w:rFonts w:eastAsia="楷体_GB2312"/>
          <w:b/>
          <w:sz w:val="32"/>
          <w:szCs w:val="32"/>
        </w:rPr>
      </w:pPr>
      <w:r>
        <w:rPr>
          <w:rFonts w:eastAsia="楷体_GB2312"/>
          <w:b/>
          <w:sz w:val="32"/>
          <w:szCs w:val="32"/>
        </w:rPr>
        <w:t>（三）服务水平</w:t>
      </w:r>
    </w:p>
    <w:p>
      <w:pPr>
        <w:adjustRightInd w:val="0"/>
        <w:snapToGrid w:val="0"/>
        <w:spacing w:line="590" w:lineRule="exact"/>
        <w:ind w:firstLine="640" w:firstLineChars="200"/>
        <w:rPr>
          <w:rFonts w:eastAsia="仿宋_GB2312"/>
          <w:sz w:val="32"/>
          <w:szCs w:val="32"/>
        </w:rPr>
      </w:pPr>
      <w:r>
        <w:rPr>
          <w:rFonts w:eastAsia="仿宋_GB2312"/>
          <w:sz w:val="32"/>
          <w:szCs w:val="32"/>
        </w:rPr>
        <w:t>为儿童口腔保健三级服务网络的县级管理和技术指导单位，配合县级卫生计生行政部门逐步推进儿童口腔保健工作，提高辖区儿童口腔健康水平。</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落实各级计生行政部门制定的儿童口腔保健发展规划、管理和技术规范。完成各级卫生计生行政部门委托的儿童口腔保健相关工作。</w:t>
      </w:r>
    </w:p>
    <w:p>
      <w:pPr>
        <w:adjustRightInd w:val="0"/>
        <w:snapToGrid w:val="0"/>
        <w:spacing w:line="590" w:lineRule="exact"/>
        <w:ind w:firstLine="640" w:firstLineChars="200"/>
        <w:rPr>
          <w:rFonts w:eastAsia="仿宋_GB2312"/>
          <w:sz w:val="32"/>
          <w:szCs w:val="32"/>
          <w:highlight w:val="none"/>
        </w:rPr>
      </w:pPr>
      <w:r>
        <w:rPr>
          <w:rFonts w:eastAsia="仿宋_GB2312"/>
          <w:sz w:val="32"/>
          <w:szCs w:val="32"/>
        </w:rPr>
        <w:t>2.</w:t>
      </w:r>
      <w:r>
        <w:rPr>
          <w:rFonts w:hint="eastAsia" w:eastAsia="仿宋_GB2312"/>
          <w:sz w:val="32"/>
          <w:szCs w:val="32"/>
        </w:rPr>
        <w:t xml:space="preserve"> </w:t>
      </w:r>
      <w:r>
        <w:rPr>
          <w:rFonts w:eastAsia="仿宋_GB2312"/>
          <w:sz w:val="32"/>
          <w:szCs w:val="32"/>
          <w:highlight w:val="none"/>
        </w:rPr>
        <w:t>儿童口腔保健门诊及儿童口腔健康筛查服务量大于1万人次；开展0</w:t>
      </w:r>
      <w:r>
        <w:rPr>
          <w:rFonts w:eastAsia="仿宋_GB2312"/>
          <w:sz w:val="32"/>
          <w:szCs w:val="32"/>
        </w:rPr>
        <w:t>－</w:t>
      </w:r>
      <w:r>
        <w:rPr>
          <w:rFonts w:hint="default" w:eastAsia="仿宋_GB2312"/>
          <w:sz w:val="32"/>
          <w:szCs w:val="32"/>
          <w:highlight w:val="none"/>
        </w:rPr>
        <w:t>3</w:t>
      </w:r>
      <w:r>
        <w:rPr>
          <w:rFonts w:eastAsia="仿宋_GB2312"/>
          <w:sz w:val="32"/>
          <w:szCs w:val="32"/>
          <w:highlight w:val="none"/>
        </w:rPr>
        <w:t>岁婴幼儿口腔健康体检，检查率达80</w:t>
      </w:r>
      <w:r>
        <w:rPr>
          <w:rFonts w:eastAsia="仿宋_GB2312"/>
          <w:sz w:val="32"/>
          <w:szCs w:val="32"/>
        </w:rPr>
        <w:t>％</w:t>
      </w:r>
      <w:r>
        <w:rPr>
          <w:rFonts w:eastAsia="仿宋_GB2312"/>
          <w:sz w:val="32"/>
          <w:szCs w:val="32"/>
          <w:highlight w:val="none"/>
        </w:rPr>
        <w:t>以上，并逐年提高。</w:t>
      </w:r>
      <w:r>
        <w:rPr>
          <w:rFonts w:eastAsia="仿宋_GB2312"/>
          <w:sz w:val="32"/>
          <w:szCs w:val="32"/>
        </w:rPr>
        <w:t>对所辖3~6群体儿童进行口腔疾病筛查及龋病预防，筛查覆盖率达</w:t>
      </w:r>
      <w:r>
        <w:rPr>
          <w:rFonts w:hint="eastAsia" w:eastAsia="仿宋_GB2312"/>
          <w:sz w:val="32"/>
          <w:szCs w:val="32"/>
        </w:rPr>
        <w:t>80</w:t>
      </w:r>
      <w:r>
        <w:rPr>
          <w:rFonts w:eastAsia="仿宋_GB2312"/>
          <w:sz w:val="32"/>
          <w:szCs w:val="32"/>
        </w:rPr>
        <w:t>％以上，龋病预防覆盖率达</w:t>
      </w:r>
      <w:r>
        <w:rPr>
          <w:rFonts w:hint="eastAsia" w:eastAsia="仿宋_GB2312"/>
          <w:sz w:val="32"/>
          <w:szCs w:val="32"/>
        </w:rPr>
        <w:t>90</w:t>
      </w:r>
      <w:r>
        <w:rPr>
          <w:rFonts w:eastAsia="仿宋_GB2312"/>
          <w:sz w:val="32"/>
          <w:szCs w:val="32"/>
        </w:rPr>
        <w:t>％以上，龋病治疗率达</w:t>
      </w:r>
      <w:r>
        <w:rPr>
          <w:rFonts w:hint="eastAsia" w:eastAsia="仿宋_GB2312"/>
          <w:sz w:val="32"/>
          <w:szCs w:val="32"/>
        </w:rPr>
        <w:t>6</w:t>
      </w:r>
      <w:r>
        <w:rPr>
          <w:rFonts w:eastAsia="仿宋_GB2312"/>
          <w:sz w:val="32"/>
          <w:szCs w:val="32"/>
        </w:rPr>
        <w:t>0％以上，并逐年提高；推进适龄儿童窝沟封闭技术的开展，不断提高辖区儿童窝沟封闭率。并逐步将服务覆盖辖区内7－14岁中、小学生。</w:t>
      </w:r>
    </w:p>
    <w:p>
      <w:pPr>
        <w:adjustRightInd w:val="0"/>
        <w:snapToGrid w:val="0"/>
        <w:spacing w:line="59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开展儿童口腔常见病、多发病的预防和诊疗工作，负责疑难病例的筛查、转诊和随访。</w:t>
      </w:r>
    </w:p>
    <w:p>
      <w:pPr>
        <w:adjustRightInd w:val="0"/>
        <w:snapToGrid w:val="0"/>
        <w:spacing w:line="59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定期参加业务培训，负责辖区内儿童口腔保健适宜技术的推广和使用，加强对基层医疗卫生机构儿童口腔保健工作的指导，定期开展技术培训、督查考核和质量控制。</w:t>
      </w:r>
    </w:p>
    <w:p>
      <w:pPr>
        <w:adjustRightInd w:val="0"/>
        <w:snapToGrid w:val="0"/>
        <w:spacing w:line="59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掌握辖区儿童口腔健康问题的流行病学特征及干预措施实施情况，定期做好相关资料的统计分析及报告，提出科学防治意见和建议供行政决策参考。</w:t>
      </w:r>
    </w:p>
    <w:p>
      <w:pPr>
        <w:adjustRightInd w:val="0"/>
        <w:snapToGrid w:val="0"/>
        <w:spacing w:line="59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开展儿童口腔保健健康宣传工作，定期开展儿童口腔保健公益活动，对儿童家长进行口腔保健知识宣教及喂养方式指导，预防口腔疾病和口腔不良习惯形成。</w:t>
      </w:r>
    </w:p>
    <w:p>
      <w:pPr>
        <w:adjustRightInd w:val="0"/>
        <w:snapToGrid w:val="0"/>
        <w:spacing w:line="59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建立健全并严格执行本专科相关规范和制度，包括本专科基本岗位职责、主要诊疗规范和管理制度。基本岗位职责：包括诊疗、咨询指导、健康教育、随访等岗位职责。主要诊疗规范：包括常见儿童</w:t>
      </w:r>
      <w:r>
        <w:rPr>
          <w:rFonts w:hint="eastAsia" w:eastAsia="仿宋_GB2312"/>
          <w:sz w:val="32"/>
          <w:szCs w:val="32"/>
        </w:rPr>
        <w:t>口腔病</w:t>
      </w:r>
      <w:r>
        <w:rPr>
          <w:rFonts w:eastAsia="仿宋_GB2312"/>
          <w:sz w:val="32"/>
          <w:szCs w:val="32"/>
        </w:rPr>
        <w:t>异常诊疗规范、主要设备操作规范等。主要管理制度：包括专科工作制度、质量控制制度、疑难病例讨论制度、健康教育制度、设备管理制度、院内及辖区转会诊制度、随访制度、培训工作制度、基层指导工作制度、信息资料管理制度、统计工作制度等。</w:t>
      </w:r>
    </w:p>
    <w:p>
      <w:pPr>
        <w:adjustRightInd w:val="0"/>
        <w:snapToGrid w:val="0"/>
        <w:spacing w:line="59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 xml:space="preserve"> 认真填报相关服务</w:t>
      </w:r>
      <w:r>
        <w:rPr>
          <w:rFonts w:eastAsia="仿宋_GB2312"/>
          <w:sz w:val="32"/>
          <w:szCs w:val="32"/>
        </w:rPr>
        <w:t>记录表单。</w:t>
      </w:r>
    </w:p>
    <w:p>
      <w:pPr>
        <w:adjustRightInd w:val="0"/>
        <w:snapToGrid w:val="0"/>
        <w:spacing w:line="590" w:lineRule="exact"/>
        <w:ind w:left="0" w:firstLine="640" w:firstLineChars="200"/>
        <w:rPr>
          <w:rFonts w:eastAsia="黑体"/>
          <w:sz w:val="32"/>
          <w:szCs w:val="32"/>
        </w:rPr>
      </w:pPr>
      <w:r>
        <w:rPr>
          <w:rFonts w:hint="eastAsia" w:eastAsia="黑体"/>
          <w:sz w:val="32"/>
          <w:szCs w:val="32"/>
        </w:rPr>
        <w:t>四、设备要求</w:t>
      </w:r>
    </w:p>
    <w:tbl>
      <w:tblPr>
        <w:tblStyle w:val="7"/>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3151"/>
        <w:gridCol w:w="2026"/>
        <w:gridCol w:w="13"/>
        <w:gridCol w:w="1802"/>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blHeader/>
          <w:jc w:val="center"/>
        </w:trPr>
        <w:tc>
          <w:tcPr>
            <w:tcW w:w="4304" w:type="dxa"/>
            <w:gridSpan w:val="2"/>
            <w:vAlign w:val="center"/>
          </w:tcPr>
          <w:p>
            <w:pPr>
              <w:tabs>
                <w:tab w:val="left" w:pos="8352"/>
              </w:tabs>
              <w:adjustRightInd w:val="0"/>
              <w:snapToGrid w:val="0"/>
              <w:spacing w:line="240" w:lineRule="auto"/>
              <w:ind w:right="-57" w:rightChars="-27" w:firstLine="560" w:firstLineChars="200"/>
              <w:jc w:val="center"/>
              <w:rPr>
                <w:rFonts w:eastAsia="黑体"/>
                <w:bCs/>
                <w:sz w:val="28"/>
                <w:szCs w:val="28"/>
              </w:rPr>
            </w:pPr>
            <w:r>
              <w:rPr>
                <w:rFonts w:eastAsia="黑体"/>
                <w:bCs/>
                <w:sz w:val="28"/>
                <w:szCs w:val="28"/>
              </w:rPr>
              <w:t>设备要求</w:t>
            </w:r>
          </w:p>
        </w:tc>
        <w:tc>
          <w:tcPr>
            <w:tcW w:w="2026" w:type="dxa"/>
            <w:vAlign w:val="center"/>
          </w:tcPr>
          <w:p>
            <w:pPr>
              <w:jc w:val="center"/>
            </w:pPr>
            <w:r>
              <w:rPr>
                <w:rFonts w:eastAsia="黑体"/>
                <w:b w:val="0"/>
                <w:bCs/>
                <w:sz w:val="28"/>
                <w:szCs w:val="28"/>
              </w:rPr>
              <w:t>省级</w:t>
            </w:r>
          </w:p>
          <w:p>
            <w:pPr>
              <w:tabs>
                <w:tab w:val="left" w:pos="8352"/>
              </w:tabs>
              <w:adjustRightInd w:val="0"/>
              <w:snapToGrid w:val="0"/>
              <w:spacing w:line="240" w:lineRule="auto"/>
              <w:ind w:right="-57" w:rightChars="-27"/>
              <w:jc w:val="center"/>
              <w:rPr>
                <w:rFonts w:eastAsia="黑体"/>
                <w:bCs/>
                <w:sz w:val="28"/>
                <w:szCs w:val="28"/>
              </w:rPr>
            </w:pPr>
          </w:p>
        </w:tc>
        <w:tc>
          <w:tcPr>
            <w:tcW w:w="1815" w:type="dxa"/>
            <w:gridSpan w:val="2"/>
            <w:vAlign w:val="center"/>
          </w:tcPr>
          <w:p>
            <w:pPr>
              <w:tabs>
                <w:tab w:val="left" w:pos="8352"/>
              </w:tabs>
              <w:adjustRightInd w:val="0"/>
              <w:snapToGrid w:val="0"/>
              <w:spacing w:line="240" w:lineRule="auto"/>
              <w:ind w:right="-57" w:rightChars="-27"/>
              <w:jc w:val="center"/>
              <w:rPr>
                <w:rFonts w:eastAsia="黑体"/>
                <w:b w:val="0"/>
                <w:bCs/>
                <w:sz w:val="28"/>
                <w:szCs w:val="28"/>
              </w:rPr>
            </w:pPr>
            <w:r>
              <w:rPr>
                <w:rFonts w:eastAsia="黑体"/>
                <w:b w:val="0"/>
                <w:bCs/>
                <w:sz w:val="28"/>
                <w:szCs w:val="28"/>
              </w:rPr>
              <w:t>地市</w:t>
            </w:r>
          </w:p>
        </w:tc>
        <w:tc>
          <w:tcPr>
            <w:tcW w:w="1607" w:type="dxa"/>
            <w:vAlign w:val="center"/>
          </w:tcPr>
          <w:p>
            <w:pPr>
              <w:jc w:val="center"/>
            </w:pPr>
            <w:r>
              <w:rPr>
                <w:rFonts w:eastAsia="黑体"/>
                <w:b w:val="0"/>
                <w:bCs/>
                <w:sz w:val="28"/>
                <w:szCs w:val="28"/>
              </w:rPr>
              <w:t>县级</w:t>
            </w:r>
          </w:p>
          <w:p>
            <w:pPr>
              <w:tabs>
                <w:tab w:val="left" w:pos="8352"/>
              </w:tabs>
              <w:adjustRightInd w:val="0"/>
              <w:snapToGrid w:val="0"/>
              <w:spacing w:line="240" w:lineRule="auto"/>
              <w:ind w:right="-57" w:rightChars="-27"/>
              <w:jc w:val="cente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restart"/>
            <w:vAlign w:val="center"/>
          </w:tcPr>
          <w:p>
            <w:pPr>
              <w:jc w:val="center"/>
            </w:pPr>
          </w:p>
          <w:p>
            <w:pPr>
              <w:tabs>
                <w:tab w:val="left" w:pos="8352"/>
              </w:tabs>
              <w:adjustRightInd w:val="0"/>
              <w:snapToGrid w:val="0"/>
              <w:spacing w:line="240" w:lineRule="auto"/>
              <w:ind w:right="-57" w:rightChars="-27"/>
              <w:jc w:val="center"/>
              <w:rPr>
                <w:rFonts w:eastAsia="仿宋_GB2312"/>
                <w:bCs/>
                <w:sz w:val="28"/>
                <w:szCs w:val="28"/>
              </w:rPr>
            </w:pPr>
          </w:p>
          <w:p>
            <w:pPr>
              <w:tabs>
                <w:tab w:val="left" w:pos="8352"/>
              </w:tabs>
              <w:adjustRightInd w:val="0"/>
              <w:snapToGrid w:val="0"/>
              <w:spacing w:line="240" w:lineRule="auto"/>
              <w:ind w:right="-57" w:rightChars="-27"/>
              <w:jc w:val="center"/>
              <w:rPr>
                <w:rFonts w:eastAsia="仿宋_GB2312"/>
                <w:bCs/>
                <w:sz w:val="28"/>
                <w:szCs w:val="28"/>
              </w:rPr>
            </w:pPr>
          </w:p>
          <w:p>
            <w:pPr>
              <w:tabs>
                <w:tab w:val="left" w:pos="8352"/>
              </w:tabs>
              <w:adjustRightInd w:val="0"/>
              <w:snapToGrid w:val="0"/>
              <w:spacing w:line="240" w:lineRule="auto"/>
              <w:ind w:right="-57" w:rightChars="-27"/>
              <w:jc w:val="center"/>
              <w:rPr>
                <w:rFonts w:eastAsia="仿宋_GB2312"/>
                <w:bCs/>
                <w:sz w:val="28"/>
                <w:szCs w:val="28"/>
              </w:rPr>
            </w:pPr>
          </w:p>
          <w:p>
            <w:pPr>
              <w:tabs>
                <w:tab w:val="left" w:pos="8352"/>
              </w:tabs>
              <w:adjustRightInd w:val="0"/>
              <w:snapToGrid w:val="0"/>
              <w:spacing w:line="240" w:lineRule="auto"/>
              <w:ind w:right="-57" w:rightChars="-27"/>
              <w:jc w:val="center"/>
              <w:rPr>
                <w:rFonts w:hint="eastAsia" w:eastAsia="仿宋_GB2312"/>
                <w:bCs/>
                <w:sz w:val="28"/>
                <w:szCs w:val="28"/>
              </w:rPr>
            </w:pPr>
            <w:r>
              <w:rPr>
                <w:rFonts w:eastAsia="仿宋_GB2312"/>
                <w:bCs/>
                <w:sz w:val="28"/>
                <w:szCs w:val="28"/>
              </w:rPr>
              <w:t>基本</w:t>
            </w:r>
          </w:p>
          <w:p>
            <w:pPr>
              <w:jc w:val="center"/>
            </w:pPr>
            <w:r>
              <w:rPr>
                <w:rFonts w:eastAsia="仿宋_GB2312"/>
                <w:bCs/>
                <w:sz w:val="28"/>
                <w:szCs w:val="28"/>
              </w:rPr>
              <w:t>设备</w:t>
            </w:r>
          </w:p>
          <w:p>
            <w:pPr>
              <w:jc w:val="center"/>
            </w:pPr>
          </w:p>
          <w:p>
            <w:pPr>
              <w:jc w:val="center"/>
            </w:pPr>
          </w:p>
          <w:p>
            <w:pPr>
              <w:jc w:val="center"/>
            </w:pPr>
          </w:p>
          <w:p>
            <w:pPr>
              <w:jc w:val="center"/>
            </w:pPr>
          </w:p>
          <w:p>
            <w:pPr>
              <w:tabs>
                <w:tab w:val="left" w:pos="8352"/>
              </w:tabs>
              <w:adjustRightInd w:val="0"/>
              <w:snapToGrid w:val="0"/>
              <w:spacing w:line="240" w:lineRule="auto"/>
              <w:ind w:right="-57" w:rightChars="-27"/>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bCs/>
                <w:sz w:val="28"/>
                <w:szCs w:val="28"/>
              </w:rPr>
              <w:t>1.口腔综合治疗台</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sz w:val="28"/>
                <w:szCs w:val="28"/>
              </w:rPr>
              <w:t>2.超声洁牙机</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3.空</w:t>
            </w:r>
            <w:bookmarkStart w:id="0" w:name="_GoBack"/>
            <w:bookmarkEnd w:id="0"/>
            <w:r>
              <w:rPr>
                <w:rFonts w:eastAsia="仿宋_GB2312"/>
                <w:sz w:val="28"/>
                <w:szCs w:val="28"/>
              </w:rPr>
              <w:t>气压缩机</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sz w:val="28"/>
                <w:szCs w:val="28"/>
              </w:rPr>
              <w:t>4.光固化机</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5.镇痛设备</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6.数字化X线牙片机</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7.曲面断层招摄片机</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8.口腔锥形束CT机</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9.高频电刀</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10.口腔激光治疗仪</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11.儿童口腔预防保健示教用品</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restart"/>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相关设备（其中12－14项可由医院供应室统一处理）</w:t>
            </w: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sz w:val="28"/>
                <w:szCs w:val="28"/>
              </w:rPr>
              <w:t>12.高压灭菌设备</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sz w:val="28"/>
                <w:szCs w:val="28"/>
              </w:rPr>
              <w:t>13.自动牙科用手机专用清洗保养设备</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sz w:val="28"/>
                <w:szCs w:val="28"/>
              </w:rPr>
              <w:t>14.口腔器械打包设备</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15.空气净化设备</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16.非手触式水龙头</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restart"/>
            <w:vAlign w:val="center"/>
          </w:tcPr>
          <w:p>
            <w:pPr>
              <w:tabs>
                <w:tab w:val="left" w:pos="8352"/>
              </w:tabs>
              <w:adjustRightInd w:val="0"/>
              <w:snapToGrid w:val="0"/>
              <w:spacing w:line="240" w:lineRule="auto"/>
              <w:ind w:right="-57" w:rightChars="-27"/>
              <w:jc w:val="center"/>
              <w:rPr>
                <w:rFonts w:hint="eastAsia" w:eastAsia="仿宋_GB2312"/>
                <w:sz w:val="28"/>
                <w:szCs w:val="28"/>
              </w:rPr>
            </w:pPr>
            <w:r>
              <w:rPr>
                <w:rFonts w:eastAsia="仿宋_GB2312"/>
                <w:sz w:val="28"/>
                <w:szCs w:val="28"/>
              </w:rPr>
              <w:t>急救</w:t>
            </w:r>
          </w:p>
          <w:p>
            <w:pPr>
              <w:tabs>
                <w:tab w:val="left" w:pos="8352"/>
              </w:tabs>
              <w:adjustRightInd w:val="0"/>
              <w:snapToGrid w:val="0"/>
              <w:spacing w:line="240" w:lineRule="auto"/>
              <w:ind w:right="-57" w:rightChars="-27"/>
              <w:jc w:val="center"/>
              <w:rPr>
                <w:rFonts w:eastAsia="仿宋_GB2312"/>
                <w:bCs/>
                <w:sz w:val="28"/>
                <w:szCs w:val="28"/>
              </w:rPr>
            </w:pPr>
            <w:r>
              <w:rPr>
                <w:rFonts w:eastAsia="仿宋_GB2312"/>
                <w:sz w:val="28"/>
                <w:szCs w:val="28"/>
              </w:rPr>
              <w:t>设备</w:t>
            </w: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sz w:val="28"/>
                <w:szCs w:val="28"/>
              </w:rPr>
              <w:t>17.缺氧瓶（袋）</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sz w:val="28"/>
                <w:szCs w:val="28"/>
              </w:rPr>
              <w:t>18.开口器</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19.牙垫</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20.口腔通气道</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sz w:val="28"/>
                <w:szCs w:val="28"/>
              </w:rPr>
            </w:pPr>
            <w:r>
              <w:rPr>
                <w:rFonts w:eastAsia="仿宋_GB2312"/>
                <w:sz w:val="28"/>
                <w:szCs w:val="28"/>
              </w:rPr>
              <w:t>21.人工呼吸器</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sz w:val="28"/>
                <w:szCs w:val="28"/>
              </w:rPr>
              <w:t>技工室</w:t>
            </w:r>
          </w:p>
        </w:tc>
        <w:tc>
          <w:tcPr>
            <w:tcW w:w="3151" w:type="dxa"/>
            <w:vAlign w:val="center"/>
          </w:tcPr>
          <w:p>
            <w:pPr>
              <w:tabs>
                <w:tab w:val="left" w:pos="8352"/>
              </w:tabs>
              <w:adjustRightInd w:val="0"/>
              <w:snapToGrid w:val="0"/>
              <w:spacing w:line="240" w:lineRule="auto"/>
              <w:ind w:right="-57" w:rightChars="-27" w:firstLine="140" w:firstLineChars="50"/>
              <w:rPr>
                <w:rFonts w:eastAsia="仿宋_GB2312"/>
                <w:bCs/>
                <w:sz w:val="28"/>
                <w:szCs w:val="28"/>
              </w:rPr>
            </w:pP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restart"/>
            <w:vAlign w:val="center"/>
          </w:tcPr>
          <w:p>
            <w:pPr>
              <w:tabs>
                <w:tab w:val="left" w:pos="8352"/>
              </w:tabs>
              <w:adjustRightInd w:val="0"/>
              <w:snapToGrid w:val="0"/>
              <w:spacing w:line="240" w:lineRule="auto"/>
              <w:ind w:right="-57" w:rightChars="-27"/>
              <w:jc w:val="center"/>
              <w:rPr>
                <w:rFonts w:hint="eastAsia" w:eastAsia="仿宋_GB2312"/>
                <w:bCs/>
                <w:sz w:val="28"/>
                <w:szCs w:val="28"/>
              </w:rPr>
            </w:pPr>
            <w:r>
              <w:rPr>
                <w:rFonts w:eastAsia="仿宋_GB2312"/>
                <w:bCs/>
                <w:sz w:val="28"/>
                <w:szCs w:val="28"/>
              </w:rPr>
              <w:t>办公</w:t>
            </w:r>
          </w:p>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设备</w:t>
            </w: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bCs/>
                <w:sz w:val="28"/>
                <w:szCs w:val="28"/>
              </w:rPr>
              <w:t>22.电脑、打印机</w:t>
            </w:r>
          </w:p>
        </w:tc>
        <w:tc>
          <w:tcPr>
            <w:tcW w:w="2026"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53"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3151"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bCs/>
                <w:sz w:val="28"/>
                <w:szCs w:val="28"/>
              </w:rPr>
              <w:t>23.其他（桌椅、文件柜等）</w:t>
            </w:r>
          </w:p>
        </w:tc>
        <w:tc>
          <w:tcPr>
            <w:tcW w:w="2039"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02"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7"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r>
    </w:tbl>
    <w:p>
      <w:pPr>
        <w:autoSpaceDE/>
        <w:autoSpaceDN/>
        <w:adjustRightInd w:val="0"/>
        <w:snapToGrid w:val="0"/>
        <w:spacing w:line="590" w:lineRule="exact"/>
        <w:ind w:firstLine="640" w:firstLineChars="200"/>
        <w:jc w:val="both"/>
        <w:rPr>
          <w:rFonts w:eastAsia="仿宋_GB2312"/>
          <w:kern w:val="2"/>
          <w:sz w:val="32"/>
          <w:szCs w:val="32"/>
        </w:rPr>
      </w:pPr>
    </w:p>
    <w:p/>
    <w:sectPr>
      <w:headerReference r:id="rId3" w:type="default"/>
      <w:footerReference r:id="rId5" w:type="default"/>
      <w:headerReference r:id="rId4" w:type="even"/>
      <w:footerReference r:id="rId6" w:type="even"/>
      <w:pgSz w:w="11906" w:h="16838"/>
      <w:pgMar w:top="1814" w:right="1474" w:bottom="1701" w:left="1588" w:header="851" w:footer="1588" w:gutter="0"/>
      <w:pgNumType w:start="1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23</w:t>
    </w:r>
    <w:r>
      <w:rPr>
        <w:rStyle w:val="6"/>
        <w:sz w:val="28"/>
        <w:szCs w:val="28"/>
      </w:rPr>
      <w:fldChar w:fldCharType="end"/>
    </w:r>
    <w:r>
      <w:rPr>
        <w:rStyle w:val="6"/>
        <w:rFonts w:hint="eastAsia"/>
        <w:sz w:val="28"/>
        <w:szCs w:val="28"/>
      </w:rPr>
      <w:t xml:space="preserve"> —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14</w:t>
    </w:r>
    <w:r>
      <w:rPr>
        <w:rStyle w:val="6"/>
        <w:sz w:val="28"/>
        <w:szCs w:val="28"/>
      </w:rPr>
      <w:fldChar w:fldCharType="end"/>
    </w:r>
    <w:r>
      <w:rPr>
        <w:rStyle w:val="6"/>
        <w:rFonts w:hint="eastAsia"/>
        <w:sz w:val="28"/>
        <w:szCs w:val="28"/>
      </w:rPr>
      <w:t xml:space="preserve"> —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05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2018-01-09T04:54:22Z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