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hint="eastAsia" w:eastAsia="仿宋_GB2312"/>
          <w:sz w:val="32"/>
          <w:szCs w:val="32"/>
        </w:rPr>
      </w:pPr>
    </w:p>
    <w:p>
      <w:pPr>
        <w:adjustRightInd w:val="0"/>
        <w:snapToGrid w:val="0"/>
        <w:spacing w:before="0" w:after="0" w:line="360" w:lineRule="auto"/>
        <w:jc w:val="center"/>
        <w:rPr>
          <w:rFonts w:ascii="Times New Roman" w:hAnsi="Times New Roman" w:eastAsia="方正小标宋简体"/>
          <w:sz w:val="44"/>
          <w:szCs w:val="44"/>
        </w:rPr>
      </w:pPr>
      <w:r>
        <w:rPr>
          <w:rFonts w:ascii="Times New Roman" w:hAnsi="Times New Roman" w:eastAsia="方正小标宋简体"/>
          <w:sz w:val="44"/>
          <w:szCs w:val="44"/>
        </w:rPr>
        <w:t>福建省儿童眼保健规范化门诊建设标准</w:t>
      </w:r>
    </w:p>
    <w:p>
      <w:pPr>
        <w:adjustRightInd w:val="0"/>
        <w:snapToGrid w:val="0"/>
        <w:spacing w:line="590" w:lineRule="exact"/>
        <w:jc w:val="center"/>
        <w:rPr>
          <w:rFonts w:eastAsia="楷体_GB2312"/>
          <w:b/>
          <w:bCs w:val="0"/>
          <w:kern w:val="2"/>
          <w:sz w:val="32"/>
          <w:szCs w:val="32"/>
        </w:rPr>
      </w:pPr>
      <w:r>
        <w:rPr>
          <w:rFonts w:eastAsia="楷体_GB2312"/>
          <w:b/>
          <w:bCs w:val="0"/>
          <w:kern w:val="2"/>
          <w:sz w:val="32"/>
          <w:szCs w:val="32"/>
        </w:rPr>
        <w:t>（试行）</w:t>
      </w:r>
    </w:p>
    <w:p>
      <w:pPr>
        <w:adjustRightInd w:val="0"/>
        <w:snapToGrid w:val="0"/>
        <w:spacing w:line="590" w:lineRule="exact"/>
        <w:ind w:firstLine="0" w:firstLineChars="0"/>
        <w:rPr>
          <w:rFonts w:hint="eastAsia" w:eastAsia="仿宋_GB2312"/>
          <w:sz w:val="32"/>
          <w:szCs w:val="32"/>
        </w:rPr>
      </w:pPr>
    </w:p>
    <w:p>
      <w:pPr>
        <w:adjustRightInd w:val="0"/>
        <w:snapToGrid w:val="0"/>
        <w:spacing w:line="590" w:lineRule="exact"/>
        <w:ind w:firstLine="640" w:firstLineChars="200"/>
        <w:rPr>
          <w:rFonts w:hint="eastAsia" w:eastAsia="黑体"/>
          <w:b w:val="0"/>
          <w:bCs w:val="0"/>
          <w:sz w:val="32"/>
          <w:szCs w:val="32"/>
        </w:rPr>
      </w:pPr>
      <w:r>
        <w:rPr>
          <w:rFonts w:hint="eastAsia" w:eastAsia="黑体"/>
          <w:b w:val="0"/>
          <w:bCs w:val="0"/>
          <w:sz w:val="32"/>
          <w:szCs w:val="32"/>
        </w:rPr>
        <w:t>一、省级机构</w:t>
      </w:r>
    </w:p>
    <w:p>
      <w:pPr>
        <w:adjustRightInd w:val="0"/>
        <w:snapToGrid w:val="0"/>
        <w:spacing w:line="590" w:lineRule="exact"/>
        <w:ind w:firstLine="643" w:firstLineChars="200"/>
        <w:rPr>
          <w:rFonts w:hint="eastAsia" w:eastAsia="楷体_GB2312"/>
          <w:b/>
          <w:sz w:val="32"/>
          <w:szCs w:val="32"/>
        </w:rPr>
      </w:pPr>
      <w:r>
        <w:rPr>
          <w:rFonts w:hint="eastAsia" w:eastAsia="楷体_GB2312"/>
          <w:b/>
          <w:sz w:val="32"/>
          <w:szCs w:val="32"/>
        </w:rPr>
        <w:t>（一）科室及人员要求</w:t>
      </w:r>
    </w:p>
    <w:p>
      <w:pPr>
        <w:adjustRightInd w:val="0"/>
        <w:snapToGrid w:val="0"/>
        <w:spacing w:line="590" w:lineRule="exact"/>
        <w:ind w:firstLine="640" w:firstLineChars="200"/>
        <w:rPr>
          <w:rFonts w:eastAsia="仿宋_GB2312"/>
          <w:sz w:val="32"/>
          <w:szCs w:val="32"/>
        </w:rPr>
      </w:pPr>
      <w:r>
        <w:rPr>
          <w:rFonts w:eastAsia="仿宋_GB2312"/>
          <w:sz w:val="32"/>
          <w:szCs w:val="32"/>
        </w:rPr>
        <w:t>设有儿童眼保健科。儿童眼保健科至少配备</w:t>
      </w:r>
      <w:r>
        <w:rPr>
          <w:rFonts w:hint="eastAsia" w:eastAsia="仿宋_GB2312"/>
          <w:sz w:val="32"/>
          <w:szCs w:val="32"/>
        </w:rPr>
        <w:t>9</w:t>
      </w:r>
      <w:r>
        <w:rPr>
          <w:rFonts w:eastAsia="仿宋_GB2312"/>
          <w:sz w:val="32"/>
          <w:szCs w:val="32"/>
        </w:rPr>
        <w:t>名儿童眼科或儿童眼保健医护人员，其中眼科执业医师3</w:t>
      </w:r>
      <w:r>
        <w:rPr>
          <w:rFonts w:hint="eastAsia" w:eastAsia="仿宋_GB2312"/>
          <w:sz w:val="32"/>
          <w:szCs w:val="32"/>
        </w:rPr>
        <w:t>－5</w:t>
      </w:r>
      <w:r>
        <w:rPr>
          <w:rFonts w:eastAsia="仿宋_GB2312"/>
          <w:sz w:val="32"/>
          <w:szCs w:val="32"/>
        </w:rPr>
        <w:t>名（至少1名高级专业技术职称，2名中级专业技术职</w:t>
      </w:r>
      <w:r>
        <w:rPr>
          <w:rFonts w:hint="eastAsia" w:eastAsia="仿宋_GB2312"/>
          <w:sz w:val="32"/>
          <w:szCs w:val="32"/>
        </w:rPr>
        <w:t>称</w:t>
      </w:r>
      <w:r>
        <w:rPr>
          <w:rFonts w:eastAsia="仿宋_GB2312"/>
          <w:sz w:val="32"/>
          <w:szCs w:val="32"/>
        </w:rPr>
        <w:t>）、高级验光</w:t>
      </w:r>
      <w:r>
        <w:rPr>
          <w:rFonts w:hint="eastAsia" w:eastAsia="仿宋_GB2312"/>
          <w:sz w:val="32"/>
          <w:szCs w:val="32"/>
        </w:rPr>
        <w:t>员2名</w:t>
      </w:r>
      <w:r>
        <w:rPr>
          <w:rFonts w:eastAsia="仿宋_GB2312"/>
          <w:sz w:val="32"/>
          <w:szCs w:val="32"/>
        </w:rPr>
        <w:t>（医学专业</w:t>
      </w:r>
      <w:r>
        <w:rPr>
          <w:rFonts w:hint="eastAsia" w:eastAsia="仿宋_GB2312"/>
          <w:sz w:val="32"/>
          <w:szCs w:val="32"/>
        </w:rPr>
        <w:t>，</w:t>
      </w:r>
      <w:r>
        <w:rPr>
          <w:rFonts w:eastAsia="仿宋_GB2312"/>
          <w:sz w:val="32"/>
          <w:szCs w:val="32"/>
        </w:rPr>
        <w:t>下同）</w:t>
      </w:r>
      <w:r>
        <w:rPr>
          <w:rFonts w:hint="eastAsia" w:eastAsia="仿宋_GB2312"/>
          <w:sz w:val="32"/>
          <w:szCs w:val="32"/>
        </w:rPr>
        <w:t>、</w:t>
      </w:r>
      <w:r>
        <w:rPr>
          <w:rFonts w:eastAsia="仿宋_GB2312"/>
          <w:sz w:val="32"/>
          <w:szCs w:val="32"/>
        </w:rPr>
        <w:t>护士2名</w:t>
      </w:r>
      <w:r>
        <w:rPr>
          <w:rFonts w:hint="eastAsia" w:eastAsia="仿宋_GB2312"/>
          <w:sz w:val="32"/>
          <w:szCs w:val="32"/>
        </w:rPr>
        <w:t>、专科医技人员2名。</w:t>
      </w:r>
      <w:r>
        <w:rPr>
          <w:rFonts w:eastAsia="仿宋_GB2312"/>
          <w:sz w:val="32"/>
          <w:szCs w:val="32"/>
        </w:rPr>
        <w:t>科室负责人及验光师</w:t>
      </w:r>
      <w:r>
        <w:rPr>
          <w:rFonts w:hint="eastAsia" w:eastAsia="仿宋_GB2312"/>
          <w:sz w:val="32"/>
          <w:szCs w:val="32"/>
        </w:rPr>
        <w:t>须</w:t>
      </w:r>
      <w:r>
        <w:rPr>
          <w:rFonts w:eastAsia="仿宋_GB2312"/>
          <w:sz w:val="32"/>
          <w:szCs w:val="32"/>
        </w:rPr>
        <w:t>从事儿童眼科临床诊疗或眼保健工作5年以上，掌握并执行国家有关眼</w:t>
      </w:r>
      <w:r>
        <w:rPr>
          <w:rFonts w:hint="eastAsia" w:eastAsia="仿宋_GB2312"/>
          <w:sz w:val="32"/>
          <w:szCs w:val="32"/>
        </w:rPr>
        <w:t>保健</w:t>
      </w:r>
      <w:r>
        <w:rPr>
          <w:rFonts w:eastAsia="仿宋_GB2312"/>
          <w:sz w:val="32"/>
          <w:szCs w:val="32"/>
        </w:rPr>
        <w:t>方面的法律法规。</w:t>
      </w:r>
    </w:p>
    <w:p>
      <w:pPr>
        <w:adjustRightInd w:val="0"/>
        <w:snapToGrid w:val="0"/>
        <w:spacing w:line="590" w:lineRule="exact"/>
        <w:ind w:firstLine="643" w:firstLineChars="200"/>
        <w:rPr>
          <w:rFonts w:hint="eastAsia" w:eastAsia="楷体_GB2312"/>
          <w:b/>
          <w:sz w:val="32"/>
          <w:szCs w:val="32"/>
        </w:rPr>
      </w:pPr>
      <w:r>
        <w:rPr>
          <w:rFonts w:hint="eastAsia" w:eastAsia="楷体_GB2312"/>
          <w:b/>
          <w:sz w:val="32"/>
          <w:szCs w:val="32"/>
        </w:rPr>
        <w:t>（二）设施设备要求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业务用房</w:t>
      </w:r>
    </w:p>
    <w:p>
      <w:pPr>
        <w:adjustRightInd w:val="0"/>
        <w:snapToGrid w:val="0"/>
        <w:spacing w:line="590" w:lineRule="exact"/>
        <w:ind w:firstLine="640" w:firstLineChars="200"/>
        <w:rPr>
          <w:rFonts w:eastAsia="仿宋_GB2312"/>
          <w:sz w:val="32"/>
          <w:szCs w:val="32"/>
        </w:rPr>
      </w:pPr>
      <w:r>
        <w:rPr>
          <w:rFonts w:eastAsia="仿宋_GB2312"/>
          <w:sz w:val="32"/>
          <w:szCs w:val="32"/>
        </w:rPr>
        <w:t>（1）有容纳30人以上</w:t>
      </w:r>
      <w:r>
        <w:rPr>
          <w:rFonts w:hint="eastAsia" w:eastAsia="仿宋_GB2312"/>
          <w:sz w:val="32"/>
          <w:szCs w:val="32"/>
        </w:rPr>
        <w:t>的</w:t>
      </w:r>
      <w:r>
        <w:rPr>
          <w:rFonts w:eastAsia="仿宋_GB2312"/>
          <w:sz w:val="32"/>
          <w:szCs w:val="32"/>
        </w:rPr>
        <w:t>日常宣教室1间</w:t>
      </w:r>
      <w:r>
        <w:rPr>
          <w:rFonts w:hint="eastAsia" w:eastAsia="仿宋_GB2312"/>
          <w:sz w:val="32"/>
          <w:szCs w:val="32"/>
        </w:rPr>
        <w:t>（</w:t>
      </w:r>
      <w:r>
        <w:rPr>
          <w:rFonts w:eastAsia="仿宋_GB2312"/>
          <w:sz w:val="32"/>
          <w:szCs w:val="32"/>
        </w:rPr>
        <w:t>可与家长学校合用</w:t>
      </w:r>
      <w:r>
        <w:rPr>
          <w:rFonts w:hint="eastAsia" w:eastAsia="仿宋_GB2312"/>
          <w:sz w:val="32"/>
          <w:szCs w:val="32"/>
        </w:rPr>
        <w:t>，</w:t>
      </w:r>
      <w:r>
        <w:rPr>
          <w:rFonts w:eastAsia="仿宋_GB2312"/>
          <w:sz w:val="32"/>
          <w:szCs w:val="32"/>
        </w:rPr>
        <w:t>下同</w:t>
      </w:r>
      <w:r>
        <w:rPr>
          <w:rFonts w:hint="eastAsia" w:eastAsia="仿宋_GB2312"/>
          <w:sz w:val="32"/>
          <w:szCs w:val="32"/>
        </w:rPr>
        <w:t>）。</w:t>
      </w:r>
    </w:p>
    <w:p>
      <w:pPr>
        <w:adjustRightInd w:val="0"/>
        <w:snapToGrid w:val="0"/>
        <w:spacing w:line="590" w:lineRule="exact"/>
        <w:ind w:firstLine="640" w:firstLineChars="200"/>
        <w:rPr>
          <w:rFonts w:eastAsia="仿宋_GB2312"/>
          <w:sz w:val="32"/>
          <w:szCs w:val="32"/>
        </w:rPr>
      </w:pPr>
      <w:r>
        <w:rPr>
          <w:rFonts w:eastAsia="仿宋_GB2312"/>
          <w:sz w:val="32"/>
          <w:szCs w:val="32"/>
        </w:rPr>
        <w:t>（2）诊室3</w:t>
      </w:r>
      <w:r>
        <w:rPr>
          <w:rFonts w:hint="eastAsia" w:eastAsia="仿宋_GB2312"/>
          <w:sz w:val="32"/>
          <w:szCs w:val="32"/>
        </w:rPr>
        <w:t>－5</w:t>
      </w:r>
      <w:r>
        <w:rPr>
          <w:rFonts w:eastAsia="仿宋_GB2312"/>
          <w:sz w:val="32"/>
          <w:szCs w:val="32"/>
        </w:rPr>
        <w:t>间，验光室2间</w:t>
      </w:r>
      <w:r>
        <w:rPr>
          <w:rFonts w:hint="eastAsia" w:eastAsia="仿宋_GB2312"/>
          <w:sz w:val="32"/>
          <w:szCs w:val="32"/>
        </w:rPr>
        <w:t>（含角膜塑形验配）</w:t>
      </w:r>
      <w:r>
        <w:rPr>
          <w:rFonts w:eastAsia="仿宋_GB2312"/>
          <w:sz w:val="32"/>
          <w:szCs w:val="32"/>
        </w:rPr>
        <w:t>，</w:t>
      </w:r>
      <w:r>
        <w:rPr>
          <w:rFonts w:hint="eastAsia" w:eastAsia="仿宋_GB2312"/>
          <w:sz w:val="32"/>
          <w:szCs w:val="32"/>
        </w:rPr>
        <w:t>弱视训练室1间，视觉训练室1间，眼底检查室1间，视力检查室1间，一般检查室3间，</w:t>
      </w:r>
      <w:r>
        <w:rPr>
          <w:rFonts w:eastAsia="仿宋_GB2312"/>
          <w:sz w:val="32"/>
          <w:szCs w:val="32"/>
        </w:rPr>
        <w:t>治疗室1间。</w:t>
      </w:r>
      <w:r>
        <w:rPr>
          <w:rFonts w:hint="eastAsia" w:eastAsia="仿宋_GB2312"/>
          <w:sz w:val="32"/>
          <w:szCs w:val="32"/>
        </w:rPr>
        <w:t>总面积</w:t>
      </w:r>
      <w:r>
        <w:rPr>
          <w:rFonts w:eastAsia="仿宋_GB2312"/>
          <w:sz w:val="32"/>
          <w:szCs w:val="32"/>
        </w:rPr>
        <w:t>不少于</w:t>
      </w:r>
      <w:r>
        <w:rPr>
          <w:rFonts w:hint="eastAsia" w:eastAsia="仿宋_GB2312"/>
          <w:sz w:val="32"/>
          <w:szCs w:val="32"/>
        </w:rPr>
        <w:t>250</w:t>
      </w:r>
      <w:r>
        <w:rPr>
          <w:rFonts w:eastAsia="仿宋_GB2312"/>
          <w:sz w:val="32"/>
          <w:szCs w:val="32"/>
        </w:rPr>
        <w:t>平方米</w:t>
      </w:r>
      <w:r>
        <w:rPr>
          <w:rFonts w:hint="eastAsia" w:eastAsia="仿宋_GB2312"/>
          <w:sz w:val="32"/>
          <w:szCs w:val="32"/>
        </w:rPr>
        <w:t>。</w:t>
      </w:r>
    </w:p>
    <w:p>
      <w:pPr>
        <w:adjustRightInd w:val="0"/>
        <w:snapToGrid w:val="0"/>
        <w:spacing w:line="590" w:lineRule="exact"/>
        <w:ind w:firstLine="640" w:firstLineChars="200"/>
        <w:rPr>
          <w:rFonts w:eastAsia="仿宋_GB2312"/>
          <w:sz w:val="32"/>
          <w:szCs w:val="32"/>
        </w:rPr>
      </w:pPr>
      <w:r>
        <w:rPr>
          <w:rFonts w:eastAsia="仿宋_GB2312"/>
          <w:sz w:val="32"/>
          <w:szCs w:val="32"/>
        </w:rPr>
        <w:t>（3）房间设置要符合卫生学布局及流程。设计上符合儿童年龄特点，注重人文关怀，凸显温馨、安全感，减轻儿童恐惧心理。</w:t>
      </w:r>
    </w:p>
    <w:p>
      <w:pPr>
        <w:adjustRightInd w:val="0"/>
        <w:snapToGrid w:val="0"/>
        <w:spacing w:line="59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详见附表。</w:t>
      </w:r>
    </w:p>
    <w:p>
      <w:pPr>
        <w:adjustRightInd w:val="0"/>
        <w:snapToGrid w:val="0"/>
        <w:spacing w:line="590" w:lineRule="exact"/>
        <w:ind w:firstLine="643" w:firstLineChars="200"/>
        <w:rPr>
          <w:rFonts w:hint="eastAsia" w:eastAsia="楷体_GB2312"/>
          <w:b/>
          <w:sz w:val="32"/>
          <w:szCs w:val="32"/>
        </w:rPr>
      </w:pPr>
      <w:r>
        <w:rPr>
          <w:rFonts w:hint="eastAsia" w:eastAsia="楷体_GB2312"/>
          <w:b/>
          <w:sz w:val="32"/>
          <w:szCs w:val="32"/>
        </w:rPr>
        <w:t>（三）服务水平</w:t>
      </w:r>
    </w:p>
    <w:p>
      <w:pPr>
        <w:adjustRightInd w:val="0"/>
        <w:snapToGrid w:val="0"/>
        <w:spacing w:line="590" w:lineRule="exact"/>
        <w:ind w:firstLine="640" w:firstLineChars="200"/>
        <w:rPr>
          <w:rFonts w:eastAsia="仿宋_GB2312"/>
          <w:sz w:val="32"/>
          <w:szCs w:val="32"/>
        </w:rPr>
      </w:pPr>
      <w:r>
        <w:rPr>
          <w:rFonts w:eastAsia="仿宋_GB2312"/>
          <w:sz w:val="32"/>
          <w:szCs w:val="32"/>
        </w:rPr>
        <w:t>为儿童眼保健三级服务网络的省级管理和技术指导单位，配合省级卫生计生行政部门逐步建立和完善全省眼保健服务体系，提高全省儿童眼健康水平。</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落实国家卫生计生委制定的相关管理和技术规范；协助省级卫生计生行政部门制定全省儿童眼保健工作发展规划、管理及技术规范，完成卫生计生行政部门委托的儿童眼保健相关业务的培训、督导、质量控制、考核评估和健康宣传等工作。</w:t>
      </w:r>
    </w:p>
    <w:p>
      <w:pPr>
        <w:adjustRightInd w:val="0"/>
        <w:snapToGrid w:val="0"/>
        <w:spacing w:line="590" w:lineRule="exact"/>
        <w:ind w:firstLine="640" w:firstLineChars="200"/>
        <w:rPr>
          <w:rFonts w:eastAsia="仿宋_GB2312"/>
          <w:sz w:val="32"/>
          <w:szCs w:val="32"/>
          <w:highlight w:val="none"/>
        </w:rPr>
      </w:pPr>
      <w:r>
        <w:rPr>
          <w:rFonts w:eastAsia="仿宋_GB2312"/>
          <w:sz w:val="32"/>
          <w:szCs w:val="32"/>
        </w:rPr>
        <w:t>2.</w:t>
      </w:r>
      <w:r>
        <w:rPr>
          <w:rFonts w:hint="eastAsia" w:eastAsia="仿宋_GB2312"/>
          <w:sz w:val="32"/>
          <w:szCs w:val="32"/>
        </w:rPr>
        <w:t xml:space="preserve"> </w:t>
      </w:r>
      <w:r>
        <w:rPr>
          <w:rFonts w:eastAsia="仿宋_GB2312"/>
          <w:sz w:val="32"/>
          <w:szCs w:val="32"/>
          <w:highlight w:val="none"/>
        </w:rPr>
        <w:t>儿童眼保健门诊及儿童眼健康筛查服务量大于5万人次。开展新生儿眼病筛查，对发现眼病患儿进行早期诊断和干预。</w:t>
      </w:r>
      <w:r>
        <w:rPr>
          <w:rFonts w:eastAsia="仿宋_GB2312"/>
          <w:sz w:val="32"/>
          <w:szCs w:val="32"/>
        </w:rPr>
        <w:t>开展0－</w:t>
      </w:r>
      <w:r>
        <w:rPr>
          <w:rFonts w:hint="eastAsia" w:eastAsia="仿宋_GB2312"/>
          <w:sz w:val="32"/>
          <w:szCs w:val="32"/>
        </w:rPr>
        <w:t>3</w:t>
      </w:r>
      <w:r>
        <w:rPr>
          <w:rFonts w:eastAsia="仿宋_GB2312"/>
          <w:sz w:val="32"/>
          <w:szCs w:val="32"/>
        </w:rPr>
        <w:t>岁婴幼儿健康体检眼科检查，检查率达80％以上，并逐年提高。对所辖3－6岁群体儿童进行视力评估和眼疾病筛查，筛查覆盖率达95％以上，对发现疾病的予以干预矫治。并逐步将服务覆盖辖区内7－14岁中、小学生。</w:t>
      </w:r>
    </w:p>
    <w:p>
      <w:pPr>
        <w:adjustRightInd w:val="0"/>
        <w:snapToGrid w:val="0"/>
        <w:spacing w:line="59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开展儿童眼常见病、多发病及疑难病例的预防和诊疗工作。</w:t>
      </w:r>
    </w:p>
    <w:p>
      <w:pPr>
        <w:adjustRightInd w:val="0"/>
        <w:snapToGrid w:val="0"/>
        <w:spacing w:line="59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负责全省儿童眼保健适宜技术的推广和使用，为下级医疗保健机构开展儿童眼保健工作提供技术支持（包括孕前、孕期眼健康优生与遗传咨询服务，早产儿及高危新生儿眼病筛，婴幼儿与学龄前儿童屈光不正、斜视及弱视的早期发现与矫治，近视防控及视觉功能评估等常见眼病筛查、干预、矫治和指导咨询等）。接收下级转诊的疑难病例。定期开展技术培训、督查考核和质量控制。</w:t>
      </w:r>
    </w:p>
    <w:p>
      <w:pPr>
        <w:adjustRightInd w:val="0"/>
        <w:snapToGrid w:val="0"/>
        <w:spacing w:line="59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收集、分析、上报和反馈辖区儿童眼及视力保健相关数据和信息，动态掌握全省儿童眼健康问题的流行病学特征及干预措施实施情况，定期做好相关资料的统计分析及报告，开展儿童眼健康相关科学研究，提出科学防治意见和建议供行政决策参考。</w:t>
      </w:r>
    </w:p>
    <w:p>
      <w:pPr>
        <w:adjustRightInd w:val="0"/>
        <w:snapToGrid w:val="0"/>
        <w:spacing w:line="59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制定全省儿童眼保健健康宣传计划，编制儿童眼保健健康教育宣传材料，定期开展儿童眼保健公益活动，对辖区内学校、托幼机构和散居儿童及其家长进行眼及视力保健健康教育与咨询指导，倡导健康用眼，预防不良用眼习惯形成，预防近视和眼疾病发生。</w:t>
      </w:r>
    </w:p>
    <w:p>
      <w:pPr>
        <w:adjustRightInd w:val="0"/>
        <w:snapToGrid w:val="0"/>
        <w:spacing w:line="59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建立健全并严格执行本专科相关规范和制度，包括本专科基本岗位职责、主要诊疗规范和管理制度。基本岗位职责：包括筛查、验光、诊疗、咨询指导、健康教育、随访等岗位职责。主要诊疗规范：包括儿童眼及视力筛查规范、常见儿童眼病及视力异常诊疗规范、主要设备操作规范等。主要管理制度：包括专科工作制度、质量控制制度、儿童眼病及视力筛查制度、疑难病例讨论制度、健康教育制度、设备管理制度、院内及辖区转会诊制度、随访制度、培训工作制度、基层指导工作制度、信息资料管理制度、统计工作制度等。</w:t>
      </w:r>
    </w:p>
    <w:p>
      <w:pPr>
        <w:adjustRightInd w:val="0"/>
        <w:snapToGrid w:val="0"/>
        <w:spacing w:line="590" w:lineRule="exact"/>
        <w:ind w:firstLine="640" w:firstLineChars="200"/>
        <w:rPr>
          <w:rFonts w:eastAsia="仿宋_GB2312"/>
          <w:sz w:val="32"/>
          <w:szCs w:val="32"/>
        </w:rPr>
      </w:pPr>
      <w:r>
        <w:rPr>
          <w:rFonts w:eastAsia="仿宋_GB2312"/>
          <w:sz w:val="32"/>
          <w:szCs w:val="32"/>
        </w:rPr>
        <w:t>8.</w:t>
      </w:r>
      <w:r>
        <w:rPr>
          <w:rFonts w:hint="eastAsia" w:eastAsia="仿宋_GB2312"/>
          <w:sz w:val="32"/>
          <w:szCs w:val="32"/>
        </w:rPr>
        <w:t xml:space="preserve"> 规范</w:t>
      </w:r>
      <w:r>
        <w:rPr>
          <w:rFonts w:eastAsia="仿宋_GB2312"/>
          <w:sz w:val="32"/>
          <w:szCs w:val="32"/>
        </w:rPr>
        <w:t>服务记录表单。包括门诊登记表、筛查登记表、专案管理档案、知情同意书、辅助检查申请及报告单、转会诊与反馈登记表、随访登记表、辖区督导记录单等。各种记录应当及时、完整、准确、规范，资料定期归档整理，实施电子化管理。</w:t>
      </w:r>
    </w:p>
    <w:p>
      <w:pPr>
        <w:adjustRightInd w:val="0"/>
        <w:snapToGrid w:val="0"/>
        <w:spacing w:line="590" w:lineRule="exact"/>
        <w:ind w:firstLine="640" w:firstLineChars="200"/>
        <w:rPr>
          <w:rFonts w:hint="eastAsia" w:eastAsia="黑体"/>
          <w:b w:val="0"/>
          <w:bCs w:val="0"/>
          <w:sz w:val="32"/>
          <w:szCs w:val="32"/>
        </w:rPr>
      </w:pPr>
      <w:r>
        <w:rPr>
          <w:rFonts w:hint="eastAsia" w:eastAsia="黑体"/>
          <w:b w:val="0"/>
          <w:bCs w:val="0"/>
          <w:sz w:val="32"/>
          <w:szCs w:val="32"/>
        </w:rPr>
        <w:t>二、市级机构</w:t>
      </w:r>
    </w:p>
    <w:p>
      <w:pPr>
        <w:adjustRightInd w:val="0"/>
        <w:snapToGrid w:val="0"/>
        <w:spacing w:line="590" w:lineRule="exact"/>
        <w:ind w:firstLine="643" w:firstLineChars="200"/>
        <w:rPr>
          <w:rFonts w:hint="eastAsia" w:eastAsia="楷体_GB2312"/>
          <w:b/>
          <w:sz w:val="32"/>
          <w:szCs w:val="32"/>
        </w:rPr>
      </w:pPr>
      <w:r>
        <w:rPr>
          <w:rFonts w:hint="eastAsia" w:eastAsia="楷体_GB2312"/>
          <w:b/>
          <w:sz w:val="32"/>
          <w:szCs w:val="32"/>
        </w:rPr>
        <w:t>（一）科室及人员要求</w:t>
      </w:r>
    </w:p>
    <w:p>
      <w:pPr>
        <w:adjustRightInd w:val="0"/>
        <w:snapToGrid w:val="0"/>
        <w:spacing w:line="590" w:lineRule="exact"/>
        <w:ind w:firstLine="640" w:firstLineChars="200"/>
        <w:rPr>
          <w:rFonts w:eastAsia="仿宋_GB2312"/>
          <w:sz w:val="32"/>
          <w:szCs w:val="32"/>
        </w:rPr>
      </w:pPr>
      <w:r>
        <w:rPr>
          <w:rFonts w:eastAsia="仿宋_GB2312"/>
          <w:sz w:val="32"/>
          <w:szCs w:val="32"/>
        </w:rPr>
        <w:t>设有儿童眼保健科。儿童眼保健科至少配备</w:t>
      </w:r>
      <w:r>
        <w:rPr>
          <w:rFonts w:hint="eastAsia" w:eastAsia="仿宋_GB2312"/>
          <w:sz w:val="32"/>
          <w:szCs w:val="32"/>
        </w:rPr>
        <w:t>5</w:t>
      </w:r>
      <w:r>
        <w:rPr>
          <w:rFonts w:eastAsia="仿宋_GB2312"/>
          <w:sz w:val="32"/>
          <w:szCs w:val="32"/>
        </w:rPr>
        <w:t>名儿童眼保健医护人员，其中医师2名（至少1名副高级专业技术职称）</w:t>
      </w:r>
      <w:r>
        <w:rPr>
          <w:rFonts w:hint="eastAsia" w:eastAsia="仿宋_GB2312"/>
          <w:sz w:val="32"/>
          <w:szCs w:val="32"/>
        </w:rPr>
        <w:t>、</w:t>
      </w:r>
      <w:r>
        <w:rPr>
          <w:rFonts w:eastAsia="仿宋_GB2312"/>
          <w:sz w:val="32"/>
          <w:szCs w:val="32"/>
        </w:rPr>
        <w:t>中级以上验光</w:t>
      </w:r>
      <w:r>
        <w:rPr>
          <w:rFonts w:hint="eastAsia" w:eastAsia="仿宋_GB2312"/>
          <w:sz w:val="32"/>
          <w:szCs w:val="32"/>
        </w:rPr>
        <w:t>员</w:t>
      </w:r>
      <w:r>
        <w:rPr>
          <w:rFonts w:eastAsia="仿宋_GB2312"/>
          <w:sz w:val="32"/>
          <w:szCs w:val="32"/>
        </w:rPr>
        <w:t>1名、护士1名</w:t>
      </w:r>
      <w:r>
        <w:rPr>
          <w:rFonts w:hint="eastAsia" w:eastAsia="仿宋_GB2312"/>
          <w:sz w:val="32"/>
          <w:szCs w:val="32"/>
        </w:rPr>
        <w:t>、专科医技人员1名。</w:t>
      </w:r>
      <w:r>
        <w:rPr>
          <w:rFonts w:eastAsia="仿宋_GB2312"/>
          <w:sz w:val="32"/>
          <w:szCs w:val="32"/>
        </w:rPr>
        <w:t>医师</w:t>
      </w:r>
      <w:r>
        <w:rPr>
          <w:rFonts w:hint="eastAsia" w:eastAsia="仿宋_GB2312"/>
          <w:sz w:val="32"/>
          <w:szCs w:val="32"/>
        </w:rPr>
        <w:t>及验光师</w:t>
      </w:r>
      <w:r>
        <w:rPr>
          <w:rFonts w:eastAsia="仿宋_GB2312"/>
          <w:sz w:val="32"/>
          <w:szCs w:val="32"/>
        </w:rPr>
        <w:t>须从事儿童眼临床诊疗或保健工作3年以上，掌握并执行国家有关眼保健方面的法律法规。</w:t>
      </w:r>
    </w:p>
    <w:p>
      <w:pPr>
        <w:adjustRightInd w:val="0"/>
        <w:snapToGrid w:val="0"/>
        <w:spacing w:line="590" w:lineRule="exact"/>
        <w:ind w:firstLine="643" w:firstLineChars="200"/>
        <w:rPr>
          <w:rFonts w:hint="eastAsia" w:eastAsia="楷体_GB2312"/>
          <w:b/>
          <w:sz w:val="32"/>
          <w:szCs w:val="32"/>
        </w:rPr>
      </w:pPr>
      <w:r>
        <w:rPr>
          <w:rFonts w:hint="eastAsia" w:eastAsia="楷体_GB2312"/>
          <w:b/>
          <w:sz w:val="32"/>
          <w:szCs w:val="32"/>
        </w:rPr>
        <w:t>（二）设施及设备要求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业务用房</w:t>
      </w:r>
    </w:p>
    <w:p>
      <w:pPr>
        <w:adjustRightInd w:val="0"/>
        <w:snapToGrid w:val="0"/>
        <w:spacing w:line="590" w:lineRule="exact"/>
        <w:ind w:firstLine="640" w:firstLineChars="200"/>
        <w:rPr>
          <w:rFonts w:eastAsia="仿宋_GB2312"/>
          <w:sz w:val="32"/>
          <w:szCs w:val="32"/>
        </w:rPr>
      </w:pPr>
      <w:r>
        <w:rPr>
          <w:rFonts w:eastAsia="仿宋_GB2312"/>
          <w:sz w:val="32"/>
          <w:szCs w:val="32"/>
        </w:rPr>
        <w:t>（1）有容纳20人以上</w:t>
      </w:r>
      <w:r>
        <w:rPr>
          <w:rFonts w:hint="eastAsia" w:eastAsia="仿宋_GB2312"/>
          <w:sz w:val="32"/>
          <w:szCs w:val="32"/>
        </w:rPr>
        <w:t>的</w:t>
      </w:r>
      <w:r>
        <w:rPr>
          <w:rFonts w:eastAsia="仿宋_GB2312"/>
          <w:sz w:val="32"/>
          <w:szCs w:val="32"/>
        </w:rPr>
        <w:t>日常宣教室1间</w:t>
      </w:r>
      <w:r>
        <w:rPr>
          <w:rFonts w:hint="eastAsia" w:eastAsia="仿宋_GB2312"/>
          <w:sz w:val="32"/>
          <w:szCs w:val="32"/>
        </w:rPr>
        <w:t>。</w:t>
      </w:r>
    </w:p>
    <w:p>
      <w:pPr>
        <w:adjustRightInd w:val="0"/>
        <w:snapToGrid w:val="0"/>
        <w:spacing w:line="590" w:lineRule="exact"/>
        <w:ind w:firstLine="640" w:firstLineChars="200"/>
        <w:rPr>
          <w:rFonts w:eastAsia="仿宋_GB2312"/>
          <w:sz w:val="32"/>
          <w:szCs w:val="32"/>
        </w:rPr>
      </w:pPr>
      <w:r>
        <w:rPr>
          <w:rFonts w:eastAsia="仿宋_GB2312"/>
          <w:sz w:val="32"/>
          <w:szCs w:val="32"/>
        </w:rPr>
        <w:t>（2）诊室2间，验光室1间，检查室</w:t>
      </w:r>
      <w:r>
        <w:rPr>
          <w:rFonts w:hint="eastAsia" w:eastAsia="仿宋_GB2312"/>
          <w:sz w:val="32"/>
          <w:szCs w:val="32"/>
        </w:rPr>
        <w:t>2</w:t>
      </w:r>
      <w:r>
        <w:rPr>
          <w:rFonts w:eastAsia="仿宋_GB2312"/>
          <w:sz w:val="32"/>
          <w:szCs w:val="32"/>
        </w:rPr>
        <w:t>间，治疗室1间。</w:t>
      </w:r>
      <w:r>
        <w:rPr>
          <w:rFonts w:hint="eastAsia" w:eastAsia="仿宋_GB2312"/>
          <w:sz w:val="32"/>
          <w:szCs w:val="32"/>
        </w:rPr>
        <w:t>总面积</w:t>
      </w:r>
      <w:r>
        <w:rPr>
          <w:rFonts w:eastAsia="仿宋_GB2312"/>
          <w:sz w:val="32"/>
          <w:szCs w:val="32"/>
        </w:rPr>
        <w:t>不少于1</w:t>
      </w:r>
      <w:r>
        <w:rPr>
          <w:rFonts w:hint="eastAsia" w:eastAsia="仿宋_GB2312"/>
          <w:sz w:val="32"/>
          <w:szCs w:val="32"/>
        </w:rPr>
        <w:t>20</w:t>
      </w:r>
      <w:r>
        <w:rPr>
          <w:rFonts w:eastAsia="仿宋_GB2312"/>
          <w:sz w:val="32"/>
          <w:szCs w:val="32"/>
        </w:rPr>
        <w:t>平方米。</w:t>
      </w:r>
    </w:p>
    <w:p>
      <w:pPr>
        <w:adjustRightInd w:val="0"/>
        <w:snapToGrid w:val="0"/>
        <w:spacing w:line="590" w:lineRule="exact"/>
        <w:ind w:firstLine="640" w:firstLineChars="200"/>
        <w:rPr>
          <w:rFonts w:eastAsia="仿宋_GB2312"/>
          <w:sz w:val="32"/>
          <w:szCs w:val="32"/>
        </w:rPr>
      </w:pPr>
      <w:r>
        <w:rPr>
          <w:rFonts w:eastAsia="仿宋_GB2312"/>
          <w:sz w:val="32"/>
          <w:szCs w:val="32"/>
        </w:rPr>
        <w:t>（3）房间设置要符合卫生学布局及流程。设计上符合儿童年龄特点，注重人文关怀，凸显温馨、安全感，减轻儿童恐惧心理。</w:t>
      </w:r>
    </w:p>
    <w:p>
      <w:pPr>
        <w:adjustRightInd w:val="0"/>
        <w:snapToGrid w:val="0"/>
        <w:spacing w:line="59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rPr>
        <w:t>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详见附表。</w:t>
      </w:r>
    </w:p>
    <w:p>
      <w:pPr>
        <w:adjustRightInd w:val="0"/>
        <w:snapToGrid w:val="0"/>
        <w:spacing w:line="590" w:lineRule="exact"/>
        <w:ind w:firstLine="643" w:firstLineChars="200"/>
        <w:rPr>
          <w:rFonts w:hint="eastAsia" w:eastAsia="楷体_GB2312"/>
          <w:b/>
          <w:sz w:val="32"/>
          <w:szCs w:val="32"/>
        </w:rPr>
      </w:pPr>
      <w:r>
        <w:rPr>
          <w:rFonts w:hint="eastAsia" w:eastAsia="楷体_GB2312"/>
          <w:b/>
          <w:sz w:val="32"/>
          <w:szCs w:val="32"/>
        </w:rPr>
        <w:t>（三）职责及工作内容</w:t>
      </w:r>
    </w:p>
    <w:p>
      <w:pPr>
        <w:adjustRightInd w:val="0"/>
        <w:snapToGrid w:val="0"/>
        <w:spacing w:line="590" w:lineRule="exact"/>
        <w:ind w:firstLine="640" w:firstLineChars="200"/>
        <w:rPr>
          <w:rFonts w:eastAsia="仿宋_GB2312"/>
          <w:sz w:val="32"/>
          <w:szCs w:val="32"/>
        </w:rPr>
      </w:pPr>
      <w:r>
        <w:rPr>
          <w:rFonts w:eastAsia="仿宋_GB2312"/>
          <w:sz w:val="32"/>
          <w:szCs w:val="32"/>
        </w:rPr>
        <w:t>为儿童眼保健三级服务网络的市级管理和技术指导单位，配合市级卫生计生行政部门逐步建立和完善辖区内儿童眼保健服务网络，提高辖区儿童眼健康水平。</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落实国家和省卫生计生行政部门制定的儿童眼保健发展规划、管理和技术规范。完成省、市卫生计生行政部门委托的儿童眼保健相关业务的培训、督导、质量控制、考核评估和健康宣传等工作。</w:t>
      </w:r>
    </w:p>
    <w:p>
      <w:pPr>
        <w:adjustRightInd w:val="0"/>
        <w:snapToGrid w:val="0"/>
        <w:spacing w:line="59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highlight w:val="none"/>
        </w:rPr>
        <w:t>儿童眼保健门诊及眼健康筛查服务量大于3万人次；开展新生儿眼病筛查，对发现眼病患儿进行早期诊断和干预。</w:t>
      </w:r>
      <w:r>
        <w:rPr>
          <w:rFonts w:eastAsia="仿宋_GB2312"/>
          <w:sz w:val="32"/>
          <w:szCs w:val="32"/>
        </w:rPr>
        <w:t>开展0－</w:t>
      </w:r>
      <w:r>
        <w:rPr>
          <w:rFonts w:hint="eastAsia" w:eastAsia="仿宋_GB2312"/>
          <w:sz w:val="32"/>
          <w:szCs w:val="32"/>
        </w:rPr>
        <w:t>3</w:t>
      </w:r>
      <w:r>
        <w:rPr>
          <w:rFonts w:eastAsia="仿宋_GB2312"/>
          <w:sz w:val="32"/>
          <w:szCs w:val="32"/>
        </w:rPr>
        <w:t>岁婴幼儿健康体检眼科检查，检查率达80％以上，并逐年提高。对所辖3－6岁群体儿童进行视力评估和眼疾病筛查，筛查覆盖率达95％以上，对发现疾病的予以干预矫治或转诊。并逐步将服务覆盖辖区内7－14岁中、小学生。</w:t>
      </w:r>
    </w:p>
    <w:p>
      <w:pPr>
        <w:adjustRightInd w:val="0"/>
        <w:snapToGrid w:val="0"/>
        <w:spacing w:line="59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开展儿童眼常见病、多发病及疑难病例的预防和诊疗工作。</w:t>
      </w:r>
    </w:p>
    <w:p>
      <w:pPr>
        <w:adjustRightInd w:val="0"/>
        <w:snapToGrid w:val="0"/>
        <w:spacing w:line="59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定期参加业务培训，负责辖区内儿童眼保健适宜技术的推广和使用，为下级医疗保健机构开展儿童眼保健工作提供技术支持（包括孕前、孕期眼健康优生与遗传咨询服务，早产儿及高危新生儿眼病筛，婴幼儿与学龄前儿童屈光不正、斜视及弱视的早期发现与矫治，近视防控及视觉功能评估等常见眼病筛查、干预、矫治和指导咨询等）。接收下级或向上级转诊疑难病例。定期开展技术培训、督查考核和质量控制。</w:t>
      </w:r>
    </w:p>
    <w:p>
      <w:pPr>
        <w:adjustRightInd w:val="0"/>
        <w:snapToGrid w:val="0"/>
        <w:spacing w:line="59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收集、分析、上报和反馈辖区儿童眼及视力保健相关数据和信息，动态掌握辖区儿童眼健康问题的流行病学特征及干预措施实施情况，定期做好相关资料的统计分析及报告，开展儿童眼健康相关科学研究，提出科学防治意见和建议供行政决策参考。</w:t>
      </w:r>
    </w:p>
    <w:p>
      <w:pPr>
        <w:adjustRightInd w:val="0"/>
        <w:snapToGrid w:val="0"/>
        <w:spacing w:line="59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开展儿童眼保健健康宣传工作，定期开展儿童眼保健公益活动，对辖区内学校、托幼机构和散居儿童及其家长进行眼及视力保健健康教育与咨询指导，倡导健康用眼，预防不良用眼习惯形成，预防近视和眼疾病发生。</w:t>
      </w:r>
    </w:p>
    <w:p>
      <w:pPr>
        <w:adjustRightInd w:val="0"/>
        <w:snapToGrid w:val="0"/>
        <w:spacing w:line="590" w:lineRule="exact"/>
        <w:ind w:firstLine="640" w:firstLineChars="200"/>
        <w:rPr>
          <w:rFonts w:eastAsia="仿宋_GB2312"/>
          <w:sz w:val="32"/>
          <w:szCs w:val="32"/>
        </w:rPr>
      </w:pPr>
      <w:r>
        <w:rPr>
          <w:rFonts w:eastAsia="仿宋_GB2312"/>
          <w:sz w:val="32"/>
          <w:szCs w:val="32"/>
        </w:rPr>
        <w:t>7.</w:t>
      </w:r>
      <w:r>
        <w:rPr>
          <w:rFonts w:hint="eastAsia" w:eastAsia="仿宋_GB2312"/>
          <w:sz w:val="32"/>
          <w:szCs w:val="32"/>
        </w:rPr>
        <w:t xml:space="preserve"> </w:t>
      </w:r>
      <w:r>
        <w:rPr>
          <w:rFonts w:eastAsia="仿宋_GB2312"/>
          <w:sz w:val="32"/>
          <w:szCs w:val="32"/>
        </w:rPr>
        <w:t>建立健全并严格执行本专科相关规范和制度，包括本专科基本岗位职责、主要诊疗规范和管理制度。基本岗位职责：包括筛查、验光、诊疗、咨询指导、健康教育、随访等岗位职责。主要诊疗规范：包括儿童眼及视力筛查规范、常见儿童眼病及视力异常诊疗规范、主要设备操作规范等。主要管理制度：包括专科工作制度、质量控制制度、儿童眼病及视力筛查制度、疑难病例讨论制度、健康教育制度、设备管理制度、院内及辖区转会诊制度、随访制度、培训工作制度、基层指导工作制度、信息资料管理制度、统计工作制度等。</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8. 认真填报相关</w:t>
      </w:r>
      <w:r>
        <w:rPr>
          <w:rFonts w:eastAsia="仿宋_GB2312"/>
          <w:sz w:val="32"/>
          <w:szCs w:val="32"/>
        </w:rPr>
        <w:t>服务记录表单。</w:t>
      </w:r>
    </w:p>
    <w:p>
      <w:pPr>
        <w:adjustRightInd w:val="0"/>
        <w:snapToGrid w:val="0"/>
        <w:spacing w:line="590" w:lineRule="exact"/>
        <w:ind w:firstLine="640" w:firstLineChars="200"/>
        <w:rPr>
          <w:rFonts w:hint="eastAsia" w:eastAsia="黑体"/>
          <w:b w:val="0"/>
          <w:bCs w:val="0"/>
          <w:sz w:val="32"/>
          <w:szCs w:val="32"/>
        </w:rPr>
      </w:pPr>
      <w:r>
        <w:rPr>
          <w:rFonts w:hint="eastAsia" w:eastAsia="黑体"/>
          <w:b w:val="0"/>
          <w:bCs w:val="0"/>
          <w:sz w:val="32"/>
          <w:szCs w:val="32"/>
        </w:rPr>
        <w:t>三、县级机构</w:t>
      </w:r>
    </w:p>
    <w:p>
      <w:pPr>
        <w:adjustRightInd w:val="0"/>
        <w:snapToGrid w:val="0"/>
        <w:spacing w:line="590" w:lineRule="exact"/>
        <w:ind w:firstLine="643" w:firstLineChars="200"/>
        <w:rPr>
          <w:rFonts w:hint="eastAsia" w:eastAsia="楷体_GB2312"/>
          <w:b/>
          <w:sz w:val="32"/>
          <w:szCs w:val="32"/>
        </w:rPr>
      </w:pPr>
      <w:r>
        <w:rPr>
          <w:rFonts w:hint="eastAsia" w:eastAsia="楷体_GB2312"/>
          <w:b/>
          <w:sz w:val="32"/>
          <w:szCs w:val="32"/>
        </w:rPr>
        <w:t>（一）科室及人员要求</w:t>
      </w:r>
    </w:p>
    <w:p>
      <w:pPr>
        <w:adjustRightInd w:val="0"/>
        <w:snapToGrid w:val="0"/>
        <w:spacing w:line="590" w:lineRule="exact"/>
        <w:ind w:firstLine="640" w:firstLineChars="200"/>
        <w:rPr>
          <w:rFonts w:eastAsia="仿宋_GB2312"/>
          <w:sz w:val="32"/>
          <w:szCs w:val="32"/>
        </w:rPr>
      </w:pPr>
      <w:r>
        <w:rPr>
          <w:rFonts w:eastAsia="仿宋_GB2312"/>
          <w:sz w:val="32"/>
          <w:szCs w:val="32"/>
        </w:rPr>
        <w:t>设有儿童眼保健科。儿童眼保健科至少配备3名儿童眼保健医护人员，其中医师、护士和</w:t>
      </w:r>
      <w:r>
        <w:rPr>
          <w:rFonts w:hint="eastAsia" w:eastAsia="仿宋_GB2312"/>
          <w:sz w:val="32"/>
          <w:szCs w:val="32"/>
        </w:rPr>
        <w:t>初级以上</w:t>
      </w:r>
      <w:r>
        <w:rPr>
          <w:rFonts w:eastAsia="仿宋_GB2312"/>
          <w:sz w:val="32"/>
          <w:szCs w:val="32"/>
        </w:rPr>
        <w:t>验光</w:t>
      </w:r>
      <w:r>
        <w:rPr>
          <w:rFonts w:hint="eastAsia" w:eastAsia="仿宋_GB2312"/>
          <w:sz w:val="32"/>
          <w:szCs w:val="32"/>
        </w:rPr>
        <w:t>员</w:t>
      </w:r>
      <w:r>
        <w:rPr>
          <w:rFonts w:eastAsia="仿宋_GB2312"/>
          <w:sz w:val="32"/>
          <w:szCs w:val="32"/>
        </w:rPr>
        <w:t>各1名，应掌握并执行国家有关眼保健方面的法律法规。</w:t>
      </w:r>
    </w:p>
    <w:p>
      <w:pPr>
        <w:adjustRightInd w:val="0"/>
        <w:snapToGrid w:val="0"/>
        <w:spacing w:line="590" w:lineRule="exact"/>
        <w:ind w:firstLine="643" w:firstLineChars="200"/>
        <w:rPr>
          <w:rFonts w:hint="eastAsia" w:eastAsia="楷体_GB2312"/>
          <w:b/>
          <w:sz w:val="32"/>
          <w:szCs w:val="32"/>
        </w:rPr>
      </w:pPr>
      <w:r>
        <w:rPr>
          <w:rFonts w:hint="eastAsia" w:eastAsia="楷体_GB2312"/>
          <w:b/>
          <w:sz w:val="32"/>
          <w:szCs w:val="32"/>
        </w:rPr>
        <w:t>（二）设施及设备要求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业务用房</w:t>
      </w:r>
    </w:p>
    <w:p>
      <w:pPr>
        <w:adjustRightInd w:val="0"/>
        <w:snapToGrid w:val="0"/>
        <w:spacing w:line="590" w:lineRule="exact"/>
        <w:ind w:firstLine="640" w:firstLineChars="200"/>
        <w:rPr>
          <w:rFonts w:eastAsia="仿宋_GB2312"/>
          <w:sz w:val="32"/>
          <w:szCs w:val="32"/>
        </w:rPr>
      </w:pPr>
      <w:r>
        <w:rPr>
          <w:rFonts w:eastAsia="仿宋_GB2312"/>
          <w:sz w:val="32"/>
          <w:szCs w:val="32"/>
        </w:rPr>
        <w:t>（1）有容纳10人以上</w:t>
      </w:r>
      <w:r>
        <w:rPr>
          <w:rFonts w:hint="eastAsia" w:eastAsia="仿宋_GB2312"/>
          <w:sz w:val="32"/>
          <w:szCs w:val="32"/>
        </w:rPr>
        <w:t>的</w:t>
      </w:r>
      <w:r>
        <w:rPr>
          <w:rFonts w:eastAsia="仿宋_GB2312"/>
          <w:sz w:val="32"/>
          <w:szCs w:val="32"/>
        </w:rPr>
        <w:t>宣教室1间</w:t>
      </w:r>
      <w:r>
        <w:rPr>
          <w:rFonts w:hint="eastAsia" w:eastAsia="仿宋_GB2312"/>
          <w:sz w:val="32"/>
          <w:szCs w:val="32"/>
        </w:rPr>
        <w:t>。</w:t>
      </w:r>
    </w:p>
    <w:p>
      <w:pPr>
        <w:adjustRightInd w:val="0"/>
        <w:snapToGrid w:val="0"/>
        <w:spacing w:line="590" w:lineRule="exact"/>
        <w:ind w:firstLine="640" w:firstLineChars="200"/>
        <w:rPr>
          <w:rFonts w:eastAsia="仿宋_GB2312"/>
          <w:sz w:val="32"/>
          <w:szCs w:val="32"/>
        </w:rPr>
      </w:pPr>
      <w:r>
        <w:rPr>
          <w:rFonts w:eastAsia="仿宋_GB2312"/>
          <w:sz w:val="32"/>
          <w:szCs w:val="32"/>
        </w:rPr>
        <w:t>（2）有诊室、验光室、检查室和治疗室各1间</w:t>
      </w:r>
      <w:r>
        <w:rPr>
          <w:rFonts w:hint="eastAsia" w:eastAsia="仿宋_GB2312"/>
          <w:sz w:val="32"/>
          <w:szCs w:val="32"/>
        </w:rPr>
        <w:t>。总</w:t>
      </w:r>
      <w:r>
        <w:rPr>
          <w:rFonts w:eastAsia="仿宋_GB2312"/>
          <w:sz w:val="32"/>
          <w:szCs w:val="32"/>
        </w:rPr>
        <w:t>面积不少于50m</w:t>
      </w:r>
      <w:r>
        <w:rPr>
          <w:rFonts w:eastAsia="仿宋_GB2312"/>
          <w:sz w:val="32"/>
          <w:szCs w:val="32"/>
          <w:vertAlign w:val="superscript"/>
        </w:rPr>
        <w:t>2</w:t>
      </w:r>
      <w:r>
        <w:rPr>
          <w:rFonts w:eastAsia="仿宋_GB2312"/>
          <w:sz w:val="32"/>
          <w:szCs w:val="32"/>
        </w:rPr>
        <w:t>；</w:t>
      </w:r>
    </w:p>
    <w:p>
      <w:pPr>
        <w:adjustRightInd w:val="0"/>
        <w:snapToGrid w:val="0"/>
        <w:spacing w:line="590" w:lineRule="exact"/>
        <w:ind w:firstLine="640" w:firstLineChars="200"/>
        <w:rPr>
          <w:rFonts w:eastAsia="仿宋_GB2312"/>
          <w:sz w:val="32"/>
          <w:szCs w:val="32"/>
        </w:rPr>
      </w:pPr>
      <w:r>
        <w:rPr>
          <w:rFonts w:eastAsia="仿宋_GB2312"/>
          <w:sz w:val="32"/>
          <w:szCs w:val="32"/>
        </w:rPr>
        <w:t>（3）房间设置要符合卫生学布局及流程。设计上符合儿童年龄特点，注重人文关怀，凸显温馨、安全感，减轻儿童恐惧心理。</w:t>
      </w:r>
    </w:p>
    <w:p>
      <w:pPr>
        <w:adjustRightInd w:val="0"/>
        <w:snapToGrid w:val="0"/>
        <w:spacing w:line="590" w:lineRule="exact"/>
        <w:ind w:firstLine="640" w:firstLineChars="200"/>
        <w:rPr>
          <w:rFonts w:eastAsia="仿宋_GB2312"/>
          <w:b w:val="0"/>
          <w:sz w:val="32"/>
          <w:szCs w:val="32"/>
        </w:rPr>
      </w:pPr>
      <w:r>
        <w:rPr>
          <w:rFonts w:eastAsia="仿宋_GB2312"/>
          <w:b w:val="0"/>
          <w:sz w:val="32"/>
          <w:szCs w:val="32"/>
        </w:rPr>
        <w:t>2.</w:t>
      </w:r>
      <w:r>
        <w:rPr>
          <w:rFonts w:hint="eastAsia" w:eastAsia="仿宋_GB2312"/>
          <w:sz w:val="32"/>
          <w:szCs w:val="32"/>
        </w:rPr>
        <w:t xml:space="preserve"> </w:t>
      </w:r>
      <w:r>
        <w:rPr>
          <w:rFonts w:eastAsia="仿宋_GB2312"/>
          <w:b w:val="0"/>
          <w:sz w:val="32"/>
          <w:szCs w:val="32"/>
        </w:rPr>
        <w:t>设备要求</w:t>
      </w:r>
    </w:p>
    <w:p>
      <w:pPr>
        <w:adjustRightInd w:val="0"/>
        <w:snapToGrid w:val="0"/>
        <w:spacing w:line="590" w:lineRule="exact"/>
        <w:ind w:firstLine="640" w:firstLineChars="200"/>
        <w:rPr>
          <w:rFonts w:eastAsia="仿宋_GB2312"/>
          <w:sz w:val="32"/>
          <w:szCs w:val="32"/>
        </w:rPr>
      </w:pPr>
      <w:r>
        <w:rPr>
          <w:rFonts w:eastAsia="仿宋_GB2312"/>
          <w:sz w:val="32"/>
          <w:szCs w:val="32"/>
        </w:rPr>
        <w:t>详见附表。</w:t>
      </w:r>
    </w:p>
    <w:p>
      <w:pPr>
        <w:adjustRightInd w:val="0"/>
        <w:snapToGrid w:val="0"/>
        <w:spacing w:line="590" w:lineRule="exact"/>
        <w:ind w:firstLine="643" w:firstLineChars="200"/>
        <w:rPr>
          <w:rFonts w:hint="eastAsia" w:eastAsia="楷体_GB2312"/>
          <w:b/>
          <w:sz w:val="32"/>
          <w:szCs w:val="32"/>
        </w:rPr>
      </w:pPr>
      <w:r>
        <w:rPr>
          <w:rFonts w:hint="eastAsia" w:eastAsia="楷体_GB2312"/>
          <w:b/>
          <w:sz w:val="32"/>
          <w:szCs w:val="32"/>
        </w:rPr>
        <w:t>（三）服务水平</w:t>
      </w:r>
    </w:p>
    <w:p>
      <w:pPr>
        <w:adjustRightInd w:val="0"/>
        <w:snapToGrid w:val="0"/>
        <w:spacing w:line="590" w:lineRule="exact"/>
        <w:ind w:firstLine="640" w:firstLineChars="200"/>
        <w:rPr>
          <w:rFonts w:eastAsia="仿宋_GB2312"/>
          <w:sz w:val="32"/>
          <w:szCs w:val="32"/>
        </w:rPr>
      </w:pPr>
      <w:r>
        <w:rPr>
          <w:rFonts w:eastAsia="仿宋_GB2312"/>
          <w:sz w:val="32"/>
          <w:szCs w:val="32"/>
        </w:rPr>
        <w:t>为儿童眼保健三级服务网络的县级管理和技术指导单位，配合县级卫生计生行政部门逐步推进儿童眼保健工作，提高辖区儿童眼健康水平。</w:t>
      </w:r>
    </w:p>
    <w:p>
      <w:pPr>
        <w:adjustRightInd w:val="0"/>
        <w:snapToGrid w:val="0"/>
        <w:spacing w:line="59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 xml:space="preserve"> </w:t>
      </w:r>
      <w:r>
        <w:rPr>
          <w:rFonts w:eastAsia="仿宋_GB2312"/>
          <w:sz w:val="32"/>
          <w:szCs w:val="32"/>
        </w:rPr>
        <w:t>落实各级计生行政部门制定的儿童眼保健发展规划、管理和技术规范。完成各级卫生计生行政部门委托的儿童眼保健相关工作。</w:t>
      </w:r>
    </w:p>
    <w:p>
      <w:pPr>
        <w:adjustRightInd w:val="0"/>
        <w:snapToGrid w:val="0"/>
        <w:spacing w:line="59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 xml:space="preserve"> </w:t>
      </w:r>
      <w:r>
        <w:rPr>
          <w:rFonts w:eastAsia="仿宋_GB2312"/>
          <w:sz w:val="32"/>
          <w:szCs w:val="32"/>
          <w:highlight w:val="none"/>
        </w:rPr>
        <w:t>儿童眼保健门诊及儿童眼健康筛查服务量大于1.5万人次；开展新生儿眼病筛查，对发现眼病患儿进行早期诊断和干预。</w:t>
      </w:r>
      <w:r>
        <w:rPr>
          <w:rFonts w:eastAsia="仿宋_GB2312"/>
          <w:sz w:val="32"/>
          <w:szCs w:val="32"/>
        </w:rPr>
        <w:t>开展0－</w:t>
      </w:r>
      <w:r>
        <w:rPr>
          <w:rFonts w:hint="eastAsia" w:eastAsia="仿宋_GB2312"/>
          <w:sz w:val="32"/>
          <w:szCs w:val="32"/>
        </w:rPr>
        <w:t>3</w:t>
      </w:r>
      <w:r>
        <w:rPr>
          <w:rFonts w:eastAsia="仿宋_GB2312"/>
          <w:sz w:val="32"/>
          <w:szCs w:val="32"/>
        </w:rPr>
        <w:t>岁婴幼儿健康体检眼科检查，检查率达80％以上，并逐年提高。对所辖3－6岁群体儿童进行视力评估和眼疾病筛查，筛查覆盖率达95％以上，对发现疾病的予以干预矫治或转诊。并逐步将服务覆盖辖区内7－14岁中、小学生。</w:t>
      </w:r>
    </w:p>
    <w:p>
      <w:pPr>
        <w:adjustRightInd w:val="0"/>
        <w:snapToGrid w:val="0"/>
        <w:spacing w:line="59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 xml:space="preserve"> </w:t>
      </w:r>
      <w:r>
        <w:rPr>
          <w:rFonts w:eastAsia="仿宋_GB2312"/>
          <w:sz w:val="32"/>
          <w:szCs w:val="32"/>
        </w:rPr>
        <w:t>开展儿童眼常见病、多发病的预防和诊疗工作，负责疑难病例的筛查、转诊、随访和后续康复治疗。</w:t>
      </w:r>
    </w:p>
    <w:p>
      <w:pPr>
        <w:adjustRightInd w:val="0"/>
        <w:snapToGrid w:val="0"/>
        <w:spacing w:line="59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 xml:space="preserve"> </w:t>
      </w:r>
      <w:r>
        <w:rPr>
          <w:rFonts w:eastAsia="仿宋_GB2312"/>
          <w:sz w:val="32"/>
          <w:szCs w:val="32"/>
        </w:rPr>
        <w:t>定期参加业务培训，负责辖区内儿童眼保健适宜技术的推广和使用，加强对基层医疗卫生机构儿童眼保健工作的指导，定期开展技术培训、督查考核和质量控制。</w:t>
      </w:r>
    </w:p>
    <w:p>
      <w:pPr>
        <w:adjustRightInd w:val="0"/>
        <w:snapToGrid w:val="0"/>
        <w:spacing w:line="59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 xml:space="preserve"> </w:t>
      </w:r>
      <w:r>
        <w:rPr>
          <w:rFonts w:eastAsia="仿宋_GB2312"/>
          <w:sz w:val="32"/>
          <w:szCs w:val="32"/>
        </w:rPr>
        <w:t>收集、分析、上报和反馈辖区儿童眼及视力保健相关数据和信息，掌握辖区儿童眼健康问题的流行病学特征及干预措施实施情况，定期做好相关资料的统计分析及报告，提出科学防治意见和建议供行政决策参考。</w:t>
      </w:r>
    </w:p>
    <w:p>
      <w:pPr>
        <w:adjustRightInd w:val="0"/>
        <w:snapToGrid w:val="0"/>
        <w:spacing w:line="590" w:lineRule="exact"/>
        <w:ind w:firstLine="640" w:firstLineChars="200"/>
        <w:rPr>
          <w:rFonts w:eastAsia="仿宋_GB2312"/>
          <w:sz w:val="32"/>
          <w:szCs w:val="32"/>
        </w:rPr>
      </w:pPr>
      <w:r>
        <w:rPr>
          <w:rFonts w:eastAsia="仿宋_GB2312"/>
          <w:sz w:val="32"/>
          <w:szCs w:val="32"/>
        </w:rPr>
        <w:t>6.</w:t>
      </w:r>
      <w:r>
        <w:rPr>
          <w:rFonts w:hint="eastAsia" w:eastAsia="仿宋_GB2312"/>
          <w:sz w:val="32"/>
          <w:szCs w:val="32"/>
        </w:rPr>
        <w:t xml:space="preserve"> </w:t>
      </w:r>
      <w:r>
        <w:rPr>
          <w:rFonts w:eastAsia="仿宋_GB2312"/>
          <w:sz w:val="32"/>
          <w:szCs w:val="32"/>
        </w:rPr>
        <w:t>开展儿童眼保健健康宣传工作，定期开展儿童眼保健公益活动，对辖区内学校、托幼机构和散居儿童及其家长进行眼及视力保健健康教育与咨询指导，倡导健康用眼，预防不良用眼习惯形成，预防近视和眼疾病发生。</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 xml:space="preserve">7. </w:t>
      </w:r>
      <w:r>
        <w:rPr>
          <w:rFonts w:eastAsia="仿宋_GB2312"/>
          <w:sz w:val="32"/>
          <w:szCs w:val="32"/>
        </w:rPr>
        <w:t>建立健全并严格执行本专科相关规范和制度，包括本专科基本岗位职责、主要诊疗规范和管理制度。基本岗位职责：包括筛查、验光、诊疗、咨询指导、健康教育、随访等岗位职责。主要诊疗规范：包括儿童眼及视力筛查规范、常见儿童眼病及视力异常诊疗规范、主要设备操作规范等。主要管理制度：包括专科工作制度、质量控制制度、儿童眼病及视力筛查制度、疑难病例讨论制度、健康教育制度、设备管理制度、院内及辖区转会诊制度、随访制度、培训工作制度、基层指导工作制度、信息资料管理制度、统计工作制度等。</w:t>
      </w:r>
    </w:p>
    <w:p>
      <w:pPr>
        <w:adjustRightInd w:val="0"/>
        <w:snapToGrid w:val="0"/>
        <w:spacing w:line="590" w:lineRule="exact"/>
        <w:ind w:firstLine="640" w:firstLineChars="200"/>
        <w:rPr>
          <w:rFonts w:eastAsia="仿宋_GB2312"/>
          <w:sz w:val="32"/>
          <w:szCs w:val="32"/>
        </w:rPr>
      </w:pPr>
      <w:r>
        <w:rPr>
          <w:rFonts w:hint="eastAsia" w:eastAsia="仿宋_GB2312"/>
          <w:sz w:val="32"/>
          <w:szCs w:val="32"/>
        </w:rPr>
        <w:t>8. 认真填报相关</w:t>
      </w:r>
      <w:r>
        <w:rPr>
          <w:rFonts w:eastAsia="仿宋_GB2312"/>
          <w:sz w:val="32"/>
          <w:szCs w:val="32"/>
        </w:rPr>
        <w:t>服务记录表单。</w:t>
      </w:r>
    </w:p>
    <w:p>
      <w:pPr>
        <w:adjustRightInd w:val="0"/>
        <w:snapToGrid w:val="0"/>
        <w:spacing w:line="590" w:lineRule="exact"/>
        <w:ind w:left="0" w:firstLine="640" w:firstLineChars="200"/>
        <w:rPr>
          <w:rFonts w:eastAsia="黑体"/>
          <w:sz w:val="32"/>
          <w:szCs w:val="32"/>
        </w:rPr>
      </w:pPr>
      <w:r>
        <w:rPr>
          <w:rFonts w:hint="eastAsia" w:eastAsia="黑体"/>
          <w:sz w:val="32"/>
          <w:szCs w:val="32"/>
        </w:rPr>
        <w:t>四、设备要求</w:t>
      </w:r>
    </w:p>
    <w:tbl>
      <w:tblPr>
        <w:tblStyle w:val="6"/>
        <w:tblW w:w="93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759"/>
        <w:gridCol w:w="1663"/>
        <w:gridCol w:w="1815"/>
        <w:gridCol w:w="1592"/>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blHeader/>
          <w:jc w:val="center"/>
        </w:trPr>
        <w:tc>
          <w:tcPr>
            <w:tcW w:w="4304" w:type="dxa"/>
            <w:gridSpan w:val="2"/>
            <w:vAlign w:val="center"/>
          </w:tcPr>
          <w:p>
            <w:pPr>
              <w:tabs>
                <w:tab w:val="left" w:pos="8352"/>
              </w:tabs>
              <w:adjustRightInd w:val="0"/>
              <w:snapToGrid w:val="0"/>
              <w:spacing w:line="240" w:lineRule="auto"/>
              <w:ind w:right="-57" w:rightChars="-27" w:firstLine="560" w:firstLineChars="200"/>
              <w:jc w:val="center"/>
              <w:rPr>
                <w:rFonts w:eastAsia="黑体"/>
                <w:bCs/>
                <w:sz w:val="28"/>
                <w:szCs w:val="28"/>
              </w:rPr>
            </w:pPr>
            <w:r>
              <w:rPr>
                <w:rFonts w:eastAsia="黑体"/>
                <w:bCs/>
                <w:sz w:val="28"/>
                <w:szCs w:val="28"/>
              </w:rPr>
              <w:t>设备要求</w:t>
            </w:r>
          </w:p>
        </w:tc>
        <w:tc>
          <w:tcPr>
            <w:tcW w:w="1663" w:type="dxa"/>
            <w:vAlign w:val="center"/>
          </w:tcPr>
          <w:p>
            <w:pPr>
              <w:jc w:val="center"/>
            </w:pPr>
            <w:r>
              <w:rPr>
                <w:rFonts w:eastAsia="黑体"/>
                <w:b w:val="0"/>
                <w:bCs/>
                <w:sz w:val="28"/>
                <w:szCs w:val="28"/>
              </w:rPr>
              <w:t>省级单位</w:t>
            </w:r>
          </w:p>
          <w:p>
            <w:pPr>
              <w:tabs>
                <w:tab w:val="left" w:pos="8352"/>
              </w:tabs>
              <w:adjustRightInd w:val="0"/>
              <w:snapToGrid w:val="0"/>
              <w:spacing w:line="240" w:lineRule="auto"/>
              <w:ind w:right="-57" w:rightChars="-27"/>
              <w:jc w:val="center"/>
              <w:rPr>
                <w:rFonts w:eastAsia="黑体"/>
                <w:bCs/>
                <w:sz w:val="28"/>
                <w:szCs w:val="28"/>
              </w:rPr>
            </w:pPr>
          </w:p>
        </w:tc>
        <w:tc>
          <w:tcPr>
            <w:tcW w:w="1815" w:type="dxa"/>
            <w:vAlign w:val="center"/>
          </w:tcPr>
          <w:p>
            <w:pPr>
              <w:tabs>
                <w:tab w:val="left" w:pos="8352"/>
              </w:tabs>
              <w:adjustRightInd w:val="0"/>
              <w:snapToGrid w:val="0"/>
              <w:spacing w:line="240" w:lineRule="auto"/>
              <w:ind w:right="-57" w:rightChars="-27"/>
              <w:jc w:val="center"/>
              <w:rPr>
                <w:rFonts w:eastAsia="黑体"/>
                <w:b w:val="0"/>
                <w:bCs/>
                <w:sz w:val="28"/>
                <w:szCs w:val="28"/>
              </w:rPr>
            </w:pPr>
            <w:r>
              <w:rPr>
                <w:rFonts w:eastAsia="黑体"/>
                <w:b w:val="0"/>
                <w:bCs/>
                <w:sz w:val="28"/>
                <w:szCs w:val="28"/>
              </w:rPr>
              <w:t>地市级单位</w:t>
            </w:r>
          </w:p>
        </w:tc>
        <w:tc>
          <w:tcPr>
            <w:tcW w:w="1605" w:type="dxa"/>
            <w:gridSpan w:val="2"/>
            <w:vAlign w:val="center"/>
          </w:tcPr>
          <w:p>
            <w:pPr>
              <w:jc w:val="center"/>
            </w:pPr>
            <w:r>
              <w:rPr>
                <w:rFonts w:eastAsia="黑体"/>
                <w:b w:val="0"/>
                <w:bCs/>
                <w:sz w:val="28"/>
                <w:szCs w:val="28"/>
              </w:rPr>
              <w:t>县级单位</w:t>
            </w:r>
          </w:p>
          <w:p>
            <w:pPr>
              <w:tabs>
                <w:tab w:val="left" w:pos="8352"/>
              </w:tabs>
              <w:adjustRightInd w:val="0"/>
              <w:snapToGrid w:val="0"/>
              <w:spacing w:line="240" w:lineRule="auto"/>
              <w:ind w:right="-57" w:rightChars="-27"/>
              <w:jc w:val="center"/>
              <w:rPr>
                <w:rFonts w:eastAsia="黑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2" w:hRule="exact"/>
          <w:jc w:val="center"/>
        </w:trPr>
        <w:tc>
          <w:tcPr>
            <w:tcW w:w="1545" w:type="dxa"/>
            <w:vMerge w:val="restart"/>
            <w:vAlign w:val="center"/>
          </w:tcPr>
          <w:p>
            <w:pPr>
              <w:tabs>
                <w:tab w:val="left" w:pos="8352"/>
              </w:tabs>
              <w:adjustRightInd w:val="0"/>
              <w:snapToGrid w:val="0"/>
              <w:spacing w:line="240" w:lineRule="auto"/>
              <w:ind w:right="-57" w:rightChars="-27"/>
              <w:rPr>
                <w:rFonts w:eastAsia="仿宋_GB2312"/>
                <w:bCs/>
                <w:sz w:val="28"/>
                <w:szCs w:val="28"/>
              </w:rPr>
            </w:pPr>
          </w:p>
          <w:p>
            <w:pPr>
              <w:tabs>
                <w:tab w:val="left" w:pos="8352"/>
              </w:tabs>
              <w:adjustRightInd w:val="0"/>
              <w:snapToGrid w:val="0"/>
              <w:spacing w:line="240" w:lineRule="auto"/>
              <w:ind w:right="-57" w:rightChars="-27"/>
              <w:rPr>
                <w:rFonts w:eastAsia="仿宋_GB2312"/>
                <w:bCs/>
                <w:sz w:val="28"/>
                <w:szCs w:val="28"/>
              </w:rPr>
            </w:pPr>
          </w:p>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视力检查</w:t>
            </w:r>
          </w:p>
        </w:tc>
        <w:tc>
          <w:tcPr>
            <w:tcW w:w="2759" w:type="dxa"/>
            <w:vAlign w:val="center"/>
          </w:tcPr>
          <w:p>
            <w:pPr>
              <w:tabs>
                <w:tab w:val="left" w:pos="8352"/>
              </w:tabs>
              <w:adjustRightInd w:val="0"/>
              <w:snapToGrid w:val="0"/>
              <w:spacing w:line="240" w:lineRule="auto"/>
              <w:ind w:right="-57" w:rightChars="-27"/>
              <w:jc w:val="both"/>
              <w:rPr>
                <w:rFonts w:eastAsia="仿宋_GB2312"/>
                <w:bCs/>
                <w:sz w:val="28"/>
                <w:szCs w:val="28"/>
              </w:rPr>
            </w:pPr>
            <w:r>
              <w:rPr>
                <w:rFonts w:eastAsia="仿宋_GB2312"/>
                <w:bCs/>
                <w:sz w:val="28"/>
                <w:szCs w:val="28"/>
              </w:rPr>
              <w:t>国际或国内行业认可的视力表灯箱</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560" w:firstLineChars="200"/>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儿童图形视力表</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hint="eastAsia" w:eastAsia="仿宋_GB2312"/>
                <w:bCs/>
                <w:sz w:val="28"/>
                <w:szCs w:val="28"/>
              </w:rPr>
              <w:t>视动性眼震仪</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hint="eastAsia"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hint="eastAsia"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hint="eastAsia"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hint="eastAsia" w:eastAsia="仿宋_GB2312"/>
                <w:bCs/>
                <w:sz w:val="28"/>
                <w:szCs w:val="28"/>
              </w:rPr>
              <w:t>选择性观看卡</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hint="eastAsia"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hint="eastAsia"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hint="eastAsia"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both"/>
              <w:rPr>
                <w:rFonts w:eastAsia="仿宋_GB2312"/>
                <w:bCs/>
                <w:sz w:val="28"/>
                <w:szCs w:val="28"/>
              </w:rPr>
            </w:pPr>
            <w:r>
              <w:rPr>
                <w:rFonts w:eastAsia="仿宋_GB2312"/>
                <w:bCs/>
                <w:sz w:val="28"/>
                <w:szCs w:val="28"/>
              </w:rPr>
              <w:t>其他视力检查设备（点状视力表、</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4304" w:type="dxa"/>
            <w:gridSpan w:val="2"/>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bCs/>
                <w:sz w:val="28"/>
                <w:szCs w:val="28"/>
              </w:rPr>
              <w:t>色盲检查图谱</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exact"/>
          <w:jc w:val="center"/>
        </w:trPr>
        <w:tc>
          <w:tcPr>
            <w:tcW w:w="1545"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注视玩具</w:t>
            </w: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直径5cm左右红球或色彩鲜艳不发声小玩具</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restart"/>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眼前节及眼位检查</w:t>
            </w:r>
          </w:p>
        </w:tc>
        <w:tc>
          <w:tcPr>
            <w:tcW w:w="2759" w:type="dxa"/>
            <w:vAlign w:val="center"/>
          </w:tcPr>
          <w:p>
            <w:r>
              <w:rPr>
                <w:rFonts w:eastAsia="仿宋_GB2312"/>
                <w:bCs/>
                <w:sz w:val="28"/>
                <w:szCs w:val="28"/>
              </w:rPr>
              <w:t>聚光手电筒</w:t>
            </w:r>
          </w:p>
          <w:p>
            <w:pPr>
              <w:tabs>
                <w:tab w:val="left" w:pos="8352"/>
              </w:tabs>
              <w:adjustRightInd w:val="0"/>
              <w:snapToGrid w:val="0"/>
              <w:spacing w:line="240" w:lineRule="auto"/>
              <w:ind w:right="-57" w:rightChars="-27"/>
              <w:jc w:val="left"/>
              <w:rPr>
                <w:rFonts w:eastAsia="仿宋_GB2312"/>
                <w:bCs/>
                <w:sz w:val="28"/>
                <w:szCs w:val="28"/>
              </w:rPr>
            </w:pP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眼压计</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遮眼板</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裂隙灯或手持</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Align w:val="center"/>
          </w:tcPr>
          <w:p>
            <w:pPr>
              <w:tabs>
                <w:tab w:val="left" w:pos="8352"/>
              </w:tabs>
              <w:adjustRightInd w:val="0"/>
              <w:snapToGrid w:val="0"/>
              <w:spacing w:line="240" w:lineRule="auto"/>
              <w:ind w:right="-57" w:rightChars="-27"/>
              <w:jc w:val="center"/>
              <w:rPr>
                <w:rFonts w:eastAsia="仿宋_GB2312"/>
                <w:bCs/>
                <w:sz w:val="28"/>
                <w:szCs w:val="28"/>
              </w:rPr>
            </w:pPr>
            <w:r>
              <w:rPr>
                <w:rFonts w:eastAsia="仿宋_GB2312"/>
                <w:bCs/>
                <w:sz w:val="28"/>
                <w:szCs w:val="28"/>
              </w:rPr>
              <w:t>屈光间质、眼底检查</w:t>
            </w: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直接检眼镜</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exact"/>
          <w:jc w:val="center"/>
        </w:trPr>
        <w:tc>
          <w:tcPr>
            <w:tcW w:w="1545" w:type="dxa"/>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bCs/>
                <w:sz w:val="28"/>
                <w:szCs w:val="28"/>
              </w:rPr>
              <w:t>屈光筛查</w:t>
            </w: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视力筛查仪或便携验光仪</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restart"/>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bCs/>
                <w:sz w:val="28"/>
                <w:szCs w:val="28"/>
              </w:rPr>
              <w:t>屈光检查</w:t>
            </w: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检影镜</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镜片箱</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综合验光仪</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角膜地形图</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眼生物测量仪</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restart"/>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bCs/>
                <w:sz w:val="28"/>
                <w:szCs w:val="28"/>
              </w:rPr>
              <w:t>眼病诊断治疗设备</w:t>
            </w: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双目间接检眼镜</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同视机</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斜视检查用三棱镜</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数字视网膜成像系统或眼底照相机</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眼科A、B超</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视觉电生理仪</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视野计</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OCT</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手术显微镜</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超乳玻切机</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眼底激光机</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弱视治疗仪</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1545" w:type="dxa"/>
            <w:vMerge w:val="restart"/>
            <w:vAlign w:val="center"/>
          </w:tcPr>
          <w:p>
            <w:pPr>
              <w:tabs>
                <w:tab w:val="left" w:pos="8352"/>
              </w:tabs>
              <w:adjustRightInd w:val="0"/>
              <w:snapToGrid w:val="0"/>
              <w:spacing w:line="240" w:lineRule="auto"/>
              <w:ind w:right="-57" w:rightChars="-27"/>
              <w:rPr>
                <w:rFonts w:eastAsia="仿宋_GB2312"/>
                <w:bCs/>
                <w:sz w:val="28"/>
                <w:szCs w:val="28"/>
              </w:rPr>
            </w:pPr>
            <w:r>
              <w:rPr>
                <w:rFonts w:eastAsia="仿宋_GB2312"/>
                <w:bCs/>
                <w:sz w:val="28"/>
                <w:szCs w:val="28"/>
              </w:rPr>
              <w:t>办公设备</w:t>
            </w: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电脑、打印机</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605" w:type="dxa"/>
            <w:gridSpan w:val="2"/>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869" w:hRule="exact"/>
          <w:jc w:val="center"/>
        </w:trPr>
        <w:tc>
          <w:tcPr>
            <w:tcW w:w="1545" w:type="dxa"/>
            <w:vMerge w:val="continue"/>
            <w:vAlign w:val="center"/>
          </w:tcPr>
          <w:p>
            <w:pPr>
              <w:tabs>
                <w:tab w:val="left" w:pos="8352"/>
              </w:tabs>
              <w:adjustRightInd w:val="0"/>
              <w:snapToGrid w:val="0"/>
              <w:spacing w:line="240" w:lineRule="auto"/>
              <w:ind w:right="-57" w:rightChars="-27" w:firstLine="560" w:firstLineChars="200"/>
              <w:jc w:val="center"/>
              <w:rPr>
                <w:rFonts w:eastAsia="仿宋_GB2312"/>
                <w:bCs/>
                <w:sz w:val="28"/>
                <w:szCs w:val="28"/>
              </w:rPr>
            </w:pPr>
          </w:p>
        </w:tc>
        <w:tc>
          <w:tcPr>
            <w:tcW w:w="2759" w:type="dxa"/>
            <w:vAlign w:val="center"/>
          </w:tcPr>
          <w:p>
            <w:pPr>
              <w:tabs>
                <w:tab w:val="left" w:pos="8352"/>
              </w:tabs>
              <w:adjustRightInd w:val="0"/>
              <w:snapToGrid w:val="0"/>
              <w:spacing w:line="240" w:lineRule="auto"/>
              <w:ind w:right="-57" w:rightChars="-27"/>
              <w:jc w:val="left"/>
              <w:rPr>
                <w:rFonts w:eastAsia="仿宋_GB2312"/>
                <w:bCs/>
                <w:sz w:val="28"/>
                <w:szCs w:val="28"/>
              </w:rPr>
            </w:pPr>
            <w:r>
              <w:rPr>
                <w:rFonts w:eastAsia="仿宋_GB2312"/>
                <w:bCs/>
                <w:sz w:val="28"/>
                <w:szCs w:val="28"/>
              </w:rPr>
              <w:t>其他（桌椅、文件柜等）</w:t>
            </w:r>
          </w:p>
        </w:tc>
        <w:tc>
          <w:tcPr>
            <w:tcW w:w="1663"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815"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c>
          <w:tcPr>
            <w:tcW w:w="1592" w:type="dxa"/>
            <w:vAlign w:val="center"/>
          </w:tcPr>
          <w:p>
            <w:pPr>
              <w:tabs>
                <w:tab w:val="left" w:pos="8352"/>
              </w:tabs>
              <w:adjustRightInd w:val="0"/>
              <w:snapToGrid w:val="0"/>
              <w:spacing w:line="240" w:lineRule="auto"/>
              <w:ind w:right="-57" w:rightChars="-27" w:firstLine="0" w:firstLineChars="0"/>
              <w:jc w:val="center"/>
              <w:rPr>
                <w:rFonts w:eastAsia="仿宋_GB2312"/>
                <w:bCs/>
                <w:sz w:val="28"/>
                <w:szCs w:val="28"/>
              </w:rPr>
            </w:pPr>
            <w:r>
              <w:rPr>
                <w:rFonts w:eastAsia="仿宋_GB2312"/>
                <w:bCs/>
                <w:sz w:val="28"/>
                <w:szCs w:val="28"/>
              </w:rPr>
              <w:t>必备</w:t>
            </w:r>
          </w:p>
        </w:tc>
      </w:tr>
    </w:tbl>
    <w:p>
      <w:pPr>
        <w:autoSpaceDE/>
        <w:autoSpaceDN/>
        <w:adjustRightInd w:val="0"/>
        <w:snapToGrid w:val="0"/>
        <w:spacing w:line="240" w:lineRule="auto"/>
        <w:ind w:firstLine="640" w:firstLineChars="200"/>
        <w:jc w:val="both"/>
        <w:rPr>
          <w:rFonts w:eastAsia="仿宋_GB2312"/>
          <w:kern w:val="2"/>
          <w:sz w:val="32"/>
          <w:szCs w:val="32"/>
        </w:rPr>
      </w:pPr>
    </w:p>
    <w:p/>
    <w:sectPr>
      <w:footerReference r:id="rId3" w:type="default"/>
      <w:footerReference r:id="rId4" w:type="even"/>
      <w:pgSz w:w="11906" w:h="16838"/>
      <w:pgMar w:top="1814" w:right="1474" w:bottom="1701" w:left="1588" w:header="851" w:footer="1588" w:gutter="0"/>
      <w:pgNumType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13</w:t>
    </w:r>
    <w:r>
      <w:rPr>
        <w:rStyle w:val="5"/>
        <w:sz w:val="28"/>
        <w:szCs w:val="28"/>
      </w:rPr>
      <w:fldChar w:fldCharType="end"/>
    </w:r>
    <w:r>
      <w:rPr>
        <w:rStyle w:val="5"/>
        <w:rFonts w:hint="eastAsia"/>
        <w:sz w:val="28"/>
        <w:szCs w:val="28"/>
      </w:rPr>
      <w:t xml:space="preserve"> —  </w:t>
    </w:r>
  </w:p>
  <w:p>
    <w:pPr>
      <w:pStyle w:val="3"/>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wordWrap w:val="0"/>
      <w:ind w:left="2" w:right="6" w:rightChars="3"/>
      <w:jc w:val="right"/>
      <w:rPr>
        <w:rStyle w:val="5"/>
        <w:rFonts w:hint="eastAsia"/>
        <w:sz w:val="28"/>
        <w:szCs w:val="28"/>
      </w:rPr>
    </w:pPr>
    <w:r>
      <w:rPr>
        <w:rStyle w:val="5"/>
        <w:rFonts w:hint="eastAsia"/>
        <w:sz w:val="28"/>
        <w:szCs w:val="28"/>
      </w:rPr>
      <w:t xml:space="preserve">  —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4</w:t>
    </w:r>
    <w:r>
      <w:rPr>
        <w:rStyle w:val="5"/>
        <w:sz w:val="28"/>
        <w:szCs w:val="28"/>
      </w:rPr>
      <w:fldChar w:fldCharType="end"/>
    </w:r>
    <w:r>
      <w:rPr>
        <w:rStyle w:val="5"/>
        <w:rFonts w:hint="eastAsia"/>
        <w:sz w:val="28"/>
        <w:szCs w:val="28"/>
      </w:rPr>
      <w:t xml:space="preserve"> —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A79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2018-01-09T04:49:09Z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