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引导资源下沉  推动健康共管</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南平市探索构建全民健康网格化服务体系</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2023年以来，南平市聚焦新时期基层健康治理的新需求，围绕提高基层防病治病和健康管理能力，探索建立“分级统筹、双线并进、网格兜底、社会参与”的基层医防融合多方协同机制，努力打通全民健康治理“最后一公里”。</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一、主要做法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（一）强化高位推动、分级统筹，织密健康治理“一张网”。</w:t>
      </w:r>
      <w:r>
        <w:rPr>
          <w:rFonts w:hint="default" w:ascii="仿宋_GB2312" w:hAnsi="仿宋_GB2312" w:eastAsia="仿宋_GB2312" w:cs="仿宋_GB2312"/>
          <w:sz w:val="32"/>
          <w:szCs w:val="32"/>
          <w:lang w:val="en-US" w:eastAsia="zh-CN"/>
        </w:rPr>
        <w:t>坚持“大卫生、大健康”理念，在总结近年来疫情防控和前期试点经验基础上，市委、市政府于2023年9月出台《南平市全民健康网格化服务体系建设工作方案》，成立市委副书记任组长、市政府分管副市长任常务副组长的专项工作领导小组，统筹政法、卫健、医保、民政、财政、农业农村、红十字会等16个部门力量，推动构建市、县、乡、村高效联动的全民健康网格化服务体系与管理机制，逐步将原先分散在各部门的健康相关资源要素进行归集，整合导入基层网格，引导资源更多向农村社区倾斜延伸，不断提升基层健康服务保障质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b w:val="0"/>
          <w:bCs w:val="0"/>
          <w:sz w:val="32"/>
          <w:szCs w:val="32"/>
          <w:lang w:val="en-US" w:eastAsia="zh-CN"/>
        </w:rPr>
        <w:t>（二）强化行政管理、专业服务，扩容健康治理“守门人”。</w:t>
      </w:r>
      <w:r>
        <w:rPr>
          <w:rFonts w:hint="default" w:ascii="仿宋_GB2312" w:hAnsi="仿宋_GB2312" w:eastAsia="仿宋_GB2312" w:cs="仿宋_GB2312"/>
          <w:sz w:val="32"/>
          <w:szCs w:val="32"/>
          <w:lang w:val="en-US" w:eastAsia="zh-CN"/>
        </w:rPr>
        <w:t>实施双线并进、优势互补，通过基层人员兼职服务、下派专家多点执业等方式，汇聚多方力量加快打造一支守护全民健康的服务队伍。一方面，乡镇（街道）、村（社区）加强行政管理，统筹网格治理和基层队伍建设，因地制宜引导基层综治员、计生协管员等兼任健康网格员。另一方面，县级总医院加强对基层的医疗卫生技术力量支持保障，选派医务人员下沉基层，开展形式多样的健康服务与专业指导。以基层医疗卫生机构为主要平台，组建“4+N”全民健康服务团队，即“县级医院专科专家+基层注册执业医生+护士+乡村医生+若干名健康网格员”；目前，全市共组建“4+N”团队974支，其中有县级专科专家711名、健康网格员5439名，有效缓解基层医务人员不足的问题。同时，在乡镇政府、街道办事处和基层医疗卫生机构建立“健康网格员之家”，推动健康服务与乡村治理相融合，探索形成本土化、团队化、常态化的健康“守门人”机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b w:val="0"/>
          <w:bCs w:val="0"/>
          <w:sz w:val="32"/>
          <w:szCs w:val="32"/>
          <w:lang w:val="en-US" w:eastAsia="zh-CN"/>
        </w:rPr>
        <w:t>（三）强化多方联动、共建共管，完善健康治理“服务链”。</w:t>
      </w:r>
      <w:r>
        <w:rPr>
          <w:rFonts w:hint="default" w:ascii="仿宋_GB2312" w:hAnsi="仿宋_GB2312" w:eastAsia="仿宋_GB2312" w:cs="仿宋_GB2312"/>
          <w:sz w:val="32"/>
          <w:szCs w:val="32"/>
          <w:lang w:val="en-US" w:eastAsia="zh-CN"/>
        </w:rPr>
        <w:t>着眼于全方位全周期保障全民健康，实施“健康素养提升、健康服务优化、医保服务便民、公共卫生创建”等四项重点行动“进网格”，积极培育“居民更主动、服务更贴心、保障更到位、环境更安全”的基层健康治理“微生态”。充分发挥健康网格员作用，通过建立“网格健康微信群”等方式，“线上+线下”进行多元立体的健康素养宣传，发动人人参与健康乡村建设等。推动健康服务重心下移，累计筛查发现新增高血压患者1.58万人、2型糖尿病患者0.68万人，及时纳入网格化健康管理，由“4+N”团队介入进行健康干预，做实做细签约服务。目前，全市高血压、2型糖尿病患者规范管理服务率分别达88.93%、88.10%，同比提升2.75个、2.32个百分点，初步形成“未病早预防、小病不出村、大病能会诊、慢病有管理、转诊帮对接”的全程健康服务链。同时，充分发挥医保基金杠杆撬动和指挥棒作用，将家庭医生签约服务费中医保基金支付的40元/人年部分，实行单独列支，不再纳入城乡居民普通门诊年度封顶线；在紧密型县域医共体医保基金分配金额中，也将这部分资金单独预算，专项用于签约服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b w:val="0"/>
          <w:bCs w:val="0"/>
          <w:sz w:val="32"/>
          <w:szCs w:val="32"/>
          <w:lang w:val="en-US" w:eastAsia="zh-CN"/>
        </w:rPr>
        <w:t>（四）强化全民动员、社会参与，增强健康治理“聚合力”。</w:t>
      </w:r>
      <w:r>
        <w:rPr>
          <w:rFonts w:hint="default" w:ascii="仿宋_GB2312" w:hAnsi="仿宋_GB2312" w:eastAsia="仿宋_GB2312" w:cs="仿宋_GB2312"/>
          <w:sz w:val="32"/>
          <w:szCs w:val="32"/>
          <w:lang w:val="en-US" w:eastAsia="zh-CN"/>
        </w:rPr>
        <w:t>注重引导慈善机构、数字化技术等多方多元力量协同，主动对接、吸引国资国企和各类提供健康服务的经营主体主动融入全民健康网格化服务，打造共建、共享、共融、共通的多方协同机制，探索市场化运作和购买第三方服务模式。全市各部门通过开展“探访关爱”、“为母亲送健康”公益募捐等方式，发动市县慈善总会、在外商会、乡贤、爱心企业累计筹资1000余万元，按照相关政策规定为部分困难老年群体、“两癌”低收入妇女、计生特殊家庭、新业态人员等，代缴或减免家庭医生签约个人费用，为“4+N”团队购买人身意外保险、医责险等。搭建市级监管应用平台，建设“影像云”、便民公共卫生服务平台、慢病健康管理中心等信息化项目，科技赋能打造全民健康数据互联互通互享的平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b w:val="0"/>
          <w:bCs w:val="0"/>
          <w:sz w:val="32"/>
          <w:szCs w:val="32"/>
          <w:lang w:val="en-US" w:eastAsia="zh-CN"/>
        </w:rPr>
        <w:t>（五）强化正向激励、叠加保障，确保健康治理“有干劲”。</w:t>
      </w:r>
      <w:r>
        <w:rPr>
          <w:rFonts w:hint="default" w:ascii="仿宋_GB2312" w:hAnsi="仿宋_GB2312" w:eastAsia="仿宋_GB2312" w:cs="仿宋_GB2312"/>
          <w:sz w:val="32"/>
          <w:szCs w:val="32"/>
          <w:lang w:val="en-US" w:eastAsia="zh-CN"/>
        </w:rPr>
        <w:t>建立考核评价机制，考评结果与市对县绩效考核直接挂钩，按照工作绩效兑现薪酬，并作为医保协议管理重要考核指标，明确把不低于70％的签约服务费用于团队薪酬分配。统筹使用各级各部门投入村（社区）的相关资金，探索采取政府购买服务等方式，对参与“4+N”团队服务的网格员给予适当补助，由各乡镇（街道）考核后发放。突出多劳多得、优绩优酬，专科医生参与家签服务累计算作基层服务时间，并在职称晋升、评优评先、绩效工资分配方面予以适当倾斜，并根据服务成效参与家庭医生团队绩效奖励分配，以更好调动医务人员的积极性。</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二、实践意义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（一）探索基层医防融合，推动实现疾病防治关口前移。</w:t>
      </w:r>
      <w:r>
        <w:rPr>
          <w:rFonts w:hint="default" w:ascii="仿宋_GB2312" w:hAnsi="仿宋_GB2312" w:eastAsia="仿宋_GB2312" w:cs="仿宋_GB2312"/>
          <w:sz w:val="32"/>
          <w:szCs w:val="32"/>
          <w:lang w:val="en-US" w:eastAsia="zh-CN"/>
        </w:rPr>
        <w:t>推进全民健康网格化服务，是南平市落实新时期卫生与健康工作方针，推动医改与健康中国紧密结合的基层实践。以推进“4+N”团队履约服务为抓手，创新基层医防协同、医防融合发展机制，为困难群体、65岁及以上老年人等提供更加公平可及、优质高效的防病治病和健康管理服务，逐步变群众寻医问诊为医生上门送诊，让群众有了更稳固的“医”靠，及时化解和防范因病致贫、返贫风险，助力提升群众获得感、安全感、幸福感。</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b w:val="0"/>
          <w:bCs w:val="0"/>
          <w:sz w:val="32"/>
          <w:szCs w:val="32"/>
          <w:lang w:val="en-US" w:eastAsia="zh-CN"/>
        </w:rPr>
        <w:t>（二）引导医疗资源下沉，助力破解山区群众就医难题。</w:t>
      </w:r>
      <w:r>
        <w:rPr>
          <w:rFonts w:hint="default" w:ascii="仿宋_GB2312" w:hAnsi="仿宋_GB2312" w:eastAsia="仿宋_GB2312" w:cs="仿宋_GB2312"/>
          <w:sz w:val="32"/>
          <w:szCs w:val="32"/>
          <w:lang w:val="en-US" w:eastAsia="zh-CN"/>
        </w:rPr>
        <w:t>深化健康供给侧结构性改革，嫁接上级医疗资源，通过城市三级医院、县级总医院的帮扶、托管等，推动医疗技术与服务管理下沉落位，助力基层医疗卫生机构“强筋壮骨”速提能力；通过“4+N”团队主动服务，让老百姓在家门口也能获得上级医疗资源和更优质医疗服务，推动建立</w:t>
      </w:r>
      <w:r>
        <w:rPr>
          <w:rFonts w:hint="eastAsia" w:ascii="仿宋_GB2312" w:hAnsi="仿宋_GB2312" w:eastAsia="仿宋_GB2312" w:cs="仿宋_GB2312"/>
          <w:sz w:val="32"/>
          <w:szCs w:val="32"/>
          <w:lang w:val="en-US" w:eastAsia="zh-CN"/>
        </w:rPr>
        <w:t>完善</w:t>
      </w:r>
      <w:r>
        <w:rPr>
          <w:rFonts w:hint="default" w:ascii="仿宋_GB2312" w:hAnsi="仿宋_GB2312" w:eastAsia="仿宋_GB2312" w:cs="仿宋_GB2312"/>
          <w:sz w:val="32"/>
          <w:szCs w:val="32"/>
          <w:lang w:val="en-US" w:eastAsia="zh-CN"/>
        </w:rPr>
        <w:t>分级诊疗制度，留住了百姓在基层看病，促进医疗机构良性发展。2023年1—11月，全市基层医疗卫生机构诊疗量达465.67万人次，比上年同期增加93.62万人次、比增25.16%。同时，市纪委监委将依托“4+N”团队服务解决“整治边远地区和特殊人群‘看病难’问题”纳入点题整治项目，以及“南平市小微权利监督平台”管理，合力推动政策落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b w:val="0"/>
          <w:bCs w:val="0"/>
          <w:sz w:val="32"/>
          <w:szCs w:val="32"/>
          <w:lang w:val="en-US" w:eastAsia="zh-CN"/>
        </w:rPr>
        <w:t>（三）创新基层网格治理，搭建党群干群的“连心桥”。</w:t>
      </w:r>
      <w:r>
        <w:rPr>
          <w:rFonts w:hint="default" w:ascii="仿宋_GB2312" w:hAnsi="仿宋_GB2312" w:eastAsia="仿宋_GB2312" w:cs="仿宋_GB2312"/>
          <w:sz w:val="32"/>
          <w:szCs w:val="32"/>
          <w:lang w:val="en-US" w:eastAsia="zh-CN"/>
        </w:rPr>
        <w:t>推进全民健康网格化服务体系建设，引导基层医疗卫生服务转向“治未病”与“治已病”两手抓，从以“治病为中心”向“人民健康为中心”转变，其中健康服务网格员充当群众的“桥梁纽带”。同时，依托基层治理网格，推动基层政府把保障人民健康放在优先发展的战略位置，深度融入、主动作为，让党群干群关系更加密切。积极探索城市“党建+健康”服务模式，破解进城务工群众健康服务难以全覆盖的堵点问题。如依托党群城市家园建立“健康驿站”，依托红色旅游游客中心打造“红色健康驿站”，创新“家庭医生+企业”模式等，“4+N”团队下沉各服务点，让包括长期居住在城里的务工群众，也能就近体验高效便捷的健康服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三、探索启示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b w:val="0"/>
          <w:bCs w:val="0"/>
          <w:sz w:val="32"/>
          <w:szCs w:val="32"/>
          <w:lang w:val="en-US" w:eastAsia="zh-CN"/>
        </w:rPr>
        <w:t>（一）签而优约需久久为功。</w:t>
      </w:r>
      <w:r>
        <w:rPr>
          <w:rFonts w:hint="default" w:ascii="仿宋_GB2312" w:hAnsi="仿宋_GB2312" w:eastAsia="仿宋_GB2312" w:cs="仿宋_GB2312"/>
          <w:sz w:val="32"/>
          <w:szCs w:val="32"/>
          <w:lang w:val="en-US" w:eastAsia="zh-CN"/>
        </w:rPr>
        <w:t>家庭医生服务履约做实的关键在于“签而有约”“签而优约”，既让群众获得实实在在的获得感、又使签约团队在服务百姓中赢得成就感，必须锚定这一目标持续发力。下一步，将继续强化“4+N”团队力量，紧盯慢病规范管理、群众满意度等关键性评价指标，推动签约履约等服务更加精准到位，努力做实做细做优。借助数字赋能，探索一套涵盖疾病预防、发现、治疗、随访全过程的系统连续服务模式，提升服务智能化水平。同时，发挥县总医院的“主阵地”作用，促进县级医院与基层医疗卫生机构实现功能互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b w:val="0"/>
          <w:bCs w:val="0"/>
          <w:sz w:val="32"/>
          <w:szCs w:val="32"/>
          <w:lang w:val="en-US" w:eastAsia="zh-CN"/>
        </w:rPr>
        <w:t>（二）部门协同需同频共振。</w:t>
      </w:r>
      <w:r>
        <w:rPr>
          <w:rFonts w:hint="default" w:ascii="仿宋_GB2312" w:hAnsi="仿宋_GB2312" w:eastAsia="仿宋_GB2312" w:cs="仿宋_GB2312"/>
          <w:sz w:val="32"/>
          <w:szCs w:val="32"/>
          <w:lang w:val="en-US" w:eastAsia="zh-CN"/>
        </w:rPr>
        <w:t>全民健康服务体制机制的改革创新讲求系统整合、上下联动，要聚焦问题与需求导向，真正通过建章立制将碎片化的政策重组串联、实现突破，更需要部门间打破政策壁垒，更好地协同发力。目前，相关工作尚在起步阶段，部门间要素导入还比较局限。接下来，将强化政府的统筹力度，推动各成员单位主动谋划、全面梳理并导入卫生健康相关的政策、资源、资金，实现“众人拾柴火焰高”的健康聚合力。同时，推动乡镇（街道）通过建章立制、专人专管、加强保障等方式，更深层次地参与全民健康网格化服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pPr>
      <w:r>
        <w:rPr>
          <w:rFonts w:hint="default" w:ascii="楷体_GB2312" w:hAnsi="楷体_GB2312" w:eastAsia="楷体_GB2312" w:cs="楷体_GB2312"/>
          <w:b w:val="0"/>
          <w:bCs w:val="0"/>
          <w:sz w:val="32"/>
          <w:szCs w:val="32"/>
          <w:lang w:val="en-US" w:eastAsia="zh-CN"/>
        </w:rPr>
        <w:t>（三）健康促进需持之以恒。</w:t>
      </w:r>
      <w:r>
        <w:rPr>
          <w:rFonts w:hint="default" w:ascii="仿宋_GB2312" w:hAnsi="仿宋_GB2312" w:eastAsia="仿宋_GB2312" w:cs="仿宋_GB2312"/>
          <w:sz w:val="32"/>
          <w:szCs w:val="32"/>
          <w:lang w:val="en-US" w:eastAsia="zh-CN"/>
        </w:rPr>
        <w:t>居民健康素养提升需要一个长期的过程，要立足本土人群结构特点和不同人群的健康需求，发挥专家资源优势，建立完善全方位、多角度的健康科普知识发布和传播机制。结合网格深入开展健康宣讲，以群众易于接受的方式促进健康行为养成。通过居民健康素养水平监测和评估，及时发现问题并加以改进，确保健康促进工作可持续、不断档。同时，通过“4+N”团队健康跟管，真正实现疾病“早发现、早诊断、早干预、早治疗”，努力营造全民健康共建共享的良好氛围。</w:t>
      </w:r>
      <w:bookmarkStart w:id="0" w:name="_GoBack"/>
      <w:bookmarkEnd w:id="0"/>
    </w:p>
    <w:sectPr>
      <w:footerReference r:id="rId3" w:type="default"/>
      <w:pgSz w:w="11906" w:h="16838"/>
      <w:pgMar w:top="1814" w:right="1474" w:bottom="1701" w:left="1587" w:header="851" w:footer="1304" w:gutter="0"/>
      <w:pgNumType w:fmt="decimal" w:start="9"/>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sz w:val="28"/>
                              <w:szCs w:val="28"/>
                            </w:rPr>
                          </w:pPr>
                          <w:r>
                            <w:rPr>
                              <w:rFonts w:hint="eastAsia" w:eastAsia="宋体"/>
                              <w:sz w:val="28"/>
                              <w:szCs w:val="28"/>
                            </w:rPr>
                            <w:t xml:space="preserve">— </w:t>
                          </w:r>
                          <w:r>
                            <w:rPr>
                              <w:rFonts w:hint="eastAsia" w:eastAsia="宋体"/>
                              <w:sz w:val="28"/>
                              <w:szCs w:val="28"/>
                            </w:rPr>
                            <w:fldChar w:fldCharType="begin"/>
                          </w:r>
                          <w:r>
                            <w:rPr>
                              <w:rFonts w:hint="eastAsia" w:eastAsia="宋体"/>
                              <w:sz w:val="28"/>
                              <w:szCs w:val="28"/>
                            </w:rPr>
                            <w:instrText xml:space="preserve"> PAGE  \* MERGEFORMAT </w:instrText>
                          </w:r>
                          <w:r>
                            <w:rPr>
                              <w:rFonts w:hint="eastAsia" w:eastAsia="宋体"/>
                              <w:sz w:val="28"/>
                              <w:szCs w:val="28"/>
                            </w:rPr>
                            <w:fldChar w:fldCharType="separate"/>
                          </w:r>
                          <w:r>
                            <w:rPr>
                              <w:rFonts w:hint="eastAsia" w:eastAsia="宋体"/>
                              <w:sz w:val="28"/>
                              <w:szCs w:val="28"/>
                            </w:rPr>
                            <w:t>9</w:t>
                          </w:r>
                          <w:r>
                            <w:rPr>
                              <w:rFonts w:hint="eastAsia" w:eastAsia="宋体"/>
                              <w:sz w:val="28"/>
                              <w:szCs w:val="28"/>
                            </w:rPr>
                            <w:fldChar w:fldCharType="end"/>
                          </w:r>
                          <w:r>
                            <w:rPr>
                              <w:rFonts w:hint="eastAsia" w:eastAsia="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rFonts w:hint="eastAsia" w:eastAsia="宋体"/>
                        <w:sz w:val="28"/>
                        <w:szCs w:val="28"/>
                      </w:rPr>
                    </w:pPr>
                    <w:r>
                      <w:rPr>
                        <w:rFonts w:hint="eastAsia" w:eastAsia="宋体"/>
                        <w:sz w:val="28"/>
                        <w:szCs w:val="28"/>
                      </w:rPr>
                      <w:t xml:space="preserve">— </w:t>
                    </w:r>
                    <w:r>
                      <w:rPr>
                        <w:rFonts w:hint="eastAsia" w:eastAsia="宋体"/>
                        <w:sz w:val="28"/>
                        <w:szCs w:val="28"/>
                      </w:rPr>
                      <w:fldChar w:fldCharType="begin"/>
                    </w:r>
                    <w:r>
                      <w:rPr>
                        <w:rFonts w:hint="eastAsia" w:eastAsia="宋体"/>
                        <w:sz w:val="28"/>
                        <w:szCs w:val="28"/>
                      </w:rPr>
                      <w:instrText xml:space="preserve"> PAGE  \* MERGEFORMAT </w:instrText>
                    </w:r>
                    <w:r>
                      <w:rPr>
                        <w:rFonts w:hint="eastAsia" w:eastAsia="宋体"/>
                        <w:sz w:val="28"/>
                        <w:szCs w:val="28"/>
                      </w:rPr>
                      <w:fldChar w:fldCharType="separate"/>
                    </w:r>
                    <w:r>
                      <w:rPr>
                        <w:rFonts w:hint="eastAsia" w:eastAsia="宋体"/>
                        <w:sz w:val="28"/>
                        <w:szCs w:val="28"/>
                      </w:rPr>
                      <w:t>9</w:t>
                    </w:r>
                    <w:r>
                      <w:rPr>
                        <w:rFonts w:hint="eastAsia" w:eastAsia="宋体"/>
                        <w:sz w:val="28"/>
                        <w:szCs w:val="28"/>
                      </w:rPr>
                      <w:fldChar w:fldCharType="end"/>
                    </w:r>
                    <w:r>
                      <w:rPr>
                        <w:rFonts w:hint="eastAsia" w:eastAsia="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23880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before="100" w:beforeAutospacing="1" w:after="120" w:line="560" w:lineRule="exact"/>
      <w:ind w:left="0" w:leftChars="200" w:firstLine="420" w:firstLineChars="0"/>
      <w:jc w:val="both"/>
    </w:pPr>
    <w:rPr>
      <w:rFonts w:ascii="仿宋_GB2312" w:hAnsi="仿宋_GB2312" w:eastAsia="仿宋_GB2312" w:cs="仿宋_GB2312"/>
      <w:color w:val="000000"/>
      <w:kern w:val="2"/>
      <w:sz w:val="32"/>
      <w:szCs w:val="32"/>
      <w:lang w:val="en-US" w:eastAsia="zh-CN" w:bidi="ar-SA"/>
    </w:rPr>
  </w:style>
  <w:style w:type="paragraph" w:styleId="3">
    <w:name w:val="footer"/>
    <w:qFormat/>
    <w:uiPriority w:val="99"/>
    <w:pPr>
      <w:widowControl w:val="0"/>
      <w:tabs>
        <w:tab w:val="center" w:pos="4153"/>
        <w:tab w:val="right" w:pos="8306"/>
      </w:tabs>
      <w:adjustRightInd w:val="0"/>
      <w:snapToGrid w:val="0"/>
      <w:jc w:val="left"/>
    </w:pPr>
    <w:rPr>
      <w:rFonts w:ascii="宋体" w:hAnsi="宋体" w:eastAsia="仿宋_GB2312" w:cs="宋体"/>
      <w:kern w:val="2"/>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2024-01-02T06:02:48Z</dcterms:created>
  <dc:creator>Administrator</dc:creator>
  <cp:lastModifiedBy>小蛋蛋</cp:lastModifiedBy>
  <dcterms:modified xsi:type="dcterms:W3CDTF">2024-01-02T06:08:26Z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E60A75DBBCEC495F8C12D2090BE15D09_12</vt:lpwstr>
  </property>
</Properties>
</file>