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福建省卫生健康系统八五普法表</w:t>
      </w:r>
    </w:p>
    <w:p>
      <w:pPr>
        <w:adjustRightInd w:val="0"/>
        <w:snapToGrid w:val="0"/>
        <w:spacing w:line="120" w:lineRule="auto"/>
        <w:jc w:val="center"/>
        <w:rPr>
          <w:rFonts w:hint="eastAsia" w:ascii="仿宋_GB2312" w:hAnsi="仿宋_GB2312" w:eastAsia="仿宋_GB2312" w:cs="仿宋_GB2312"/>
          <w:b/>
          <w:bCs/>
          <w:sz w:val="44"/>
          <w:szCs w:val="44"/>
        </w:rPr>
      </w:pPr>
    </w:p>
    <w:tbl>
      <w:tblPr>
        <w:tblStyle w:val="3"/>
        <w:tblW w:w="1395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9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黑体" w:hAnsi="黑体" w:eastAsia="黑体" w:cs="黑体"/>
                <w:b w:val="0"/>
                <w:bCs/>
                <w:color w:val="000000"/>
                <w:sz w:val="36"/>
                <w:szCs w:val="24"/>
              </w:rPr>
            </w:pPr>
            <w:r>
              <w:rPr>
                <w:rFonts w:hint="eastAsia" w:ascii="黑体" w:hAnsi="黑体" w:eastAsia="黑体" w:cs="黑体"/>
                <w:b w:val="0"/>
                <w:bCs/>
                <w:color w:val="000000"/>
                <w:sz w:val="36"/>
                <w:szCs w:val="24"/>
              </w:rPr>
              <w:t>普法重点内容</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黑体" w:hAnsi="黑体" w:eastAsia="黑体" w:cs="黑体"/>
                <w:b w:val="0"/>
                <w:bCs/>
                <w:color w:val="000000"/>
                <w:sz w:val="36"/>
                <w:szCs w:val="24"/>
              </w:rPr>
            </w:pPr>
            <w:r>
              <w:rPr>
                <w:rFonts w:hint="eastAsia" w:ascii="黑体" w:hAnsi="黑体" w:eastAsia="黑体" w:cs="黑体"/>
                <w:b w:val="0"/>
                <w:bCs/>
                <w:color w:val="000000"/>
                <w:sz w:val="36"/>
                <w:szCs w:val="24"/>
              </w:rPr>
              <w:t>具体措施要求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习近平法治思想</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作为全省各级卫生健康行政部门和各医疗卫生单位党委(党组)理论中心组学习、主任（院长）办公会前学法的重点内容。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《宪法》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结合“12·4”国家宪法日和“宪法宣传周”集中宣传。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《民法典》</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美好生活·民法典相伴”为主题，在每年5月组织开展民法典宣传月活动，依托云课堂、主题动漫微视频征集、网上知识竞答、以案释法等形式，组织好系列宣传活动，让民法典走到医疗卫生人员身边、走进医疗卫生人员心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《基本医疗卫生与健康促进法》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7"/>
                <w:sz w:val="32"/>
                <w:szCs w:val="32"/>
              </w:rPr>
              <w:t>利用行业节日纪念日、相关疾病防治日（周）等重要时间节点和义诊等活动，广泛宣传。学习宣传其立法宗旨、基本原则和重要制度，深刻认识其对促进卫生健康事业改革发展、落实健康中国战略的引领和推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《传染病防治法》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《疫苗管理法》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《精神卫生法》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结合新冠肺炎疫情防控，持续开展宣传。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《医师法》《献血法》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《护士条例》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《医疗纠纷预防与处理条例》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《福建省献血条例》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中国医师节”“国际护士节”等重要节庆以及“中国好医生”“最美医生”等活动载体，广泛宣传。结合“6.14世界献血者日”活动，广泛宣传《献血法》《福建省献血条例》，营造全社会无偿献血的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《中医药法》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《福建省中医药条例》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利用“10.22传统医药日”等中医药行业节日纪念日和义诊等活动，广泛宣传。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《母婴保健法》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1"/>
                <w:sz w:val="32"/>
                <w:szCs w:val="32"/>
              </w:rPr>
              <w:t>《福建省实施</w:t>
            </w:r>
            <w:r>
              <w:rPr>
                <w:rFonts w:hint="eastAsia" w:ascii="仿宋_GB2312" w:hAnsi="仿宋_GB2312" w:eastAsia="仿宋_GB2312" w:cs="仿宋_GB2312"/>
                <w:color w:val="000000"/>
                <w:spacing w:val="-11"/>
                <w:sz w:val="32"/>
                <w:szCs w:val="32"/>
                <w:lang w:eastAsia="zh-CN"/>
              </w:rPr>
              <w:t>〈</w:t>
            </w:r>
            <w:r>
              <w:rPr>
                <w:rFonts w:hint="eastAsia" w:ascii="仿宋_GB2312" w:hAnsi="仿宋_GB2312" w:eastAsia="仿宋_GB2312" w:cs="仿宋_GB2312"/>
                <w:color w:val="000000"/>
                <w:spacing w:val="-11"/>
                <w:sz w:val="32"/>
                <w:szCs w:val="32"/>
              </w:rPr>
              <w:t>母婴保健法</w:t>
            </w:r>
            <w:r>
              <w:rPr>
                <w:rFonts w:hint="eastAsia" w:ascii="仿宋_GB2312" w:hAnsi="仿宋_GB2312" w:eastAsia="仿宋_GB2312" w:cs="仿宋_GB2312"/>
                <w:color w:val="000000"/>
                <w:spacing w:val="-11"/>
                <w:sz w:val="32"/>
                <w:szCs w:val="32"/>
                <w:lang w:eastAsia="zh-CN"/>
              </w:rPr>
              <w:t>〉</w:t>
            </w:r>
            <w:r>
              <w:rPr>
                <w:rFonts w:hint="eastAsia" w:ascii="仿宋_GB2312" w:hAnsi="仿宋_GB2312" w:eastAsia="仿宋_GB2312" w:cs="仿宋_GB2312"/>
                <w:color w:val="000000"/>
                <w:spacing w:val="-11"/>
                <w:sz w:val="32"/>
                <w:szCs w:val="32"/>
              </w:rPr>
              <w:t>办法》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利用行业节日纪念日、相关疾病防治日（周）等重要时间节点和义诊等活动，广泛宣传。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4"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《职业病防治法》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《福建省职业病防治条例》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《尘肺病防治条例》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《放射性同位素与射线装置</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安全和防护条例》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《女职工劳动保护特别规定》</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4月份最后一周，开展职业病防治周宣传活动，联合省人社厅、应急厅、总工会及有关媒体开展职业病防治周宣传活动。利用行业节日纪念日、相关疾病防治日（周）等重要时间节点和义诊等活动，广泛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3"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《人口与计划生育法》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《福建省人口与计划生育条例》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结合“7.11世界人口日”开展宣传。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《老年人权益保障法》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《福建省老年人权益保障条例》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利用重阳节等，开展宣传教育。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6"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《行政处罚法》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《行政强制法》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《行政复议法》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《行政诉讼法》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省各级卫生健康行政部门法制机构工作人员和执法人员要持续加强学习，切实提高依法行政能力。对涉及重大公共利益、社会高度关注或者可能引发群体性事件等案件以及人民法院书面建议行政机关负责人出庭的案件，被诉各级卫生健康行政部门负责人应当出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《政府信息公开条例》</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《信访工作条例》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加强对常用综合性法律法规的学习，持续加强与履行岗位职责密切相关的法律法规的学习，切实提高依法行政能力。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《反不正当竞争法》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《优化营商环境条例》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推进市场主体公平竞争，营造有效激发卫生健康领域市场主体活力的法治环境。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《国家安全法》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《反恐怖主义法》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结合“4·15”全民国家安全教育日等，配合牵头部门开展宣传教育。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《食品安全法》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每年6月份配合省食安办等开展《食品安全法》宣传活动。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《网络安全法》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《数据安全法》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《个人信息保护法》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每年9月配合省公安厅“网络安全宣传周”开展《网络安全法》宣传。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《突发事件应对法》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《安全生产法》</w:t>
            </w:r>
          </w:p>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《突发公共卫生事件应急条例》</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结合新冠肺炎疫情防控，持续开展宣传。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《生物安全法》</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结合新冠肺炎疫情防控，持续开展宣传。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67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党章、准则、条例等</w:t>
            </w:r>
          </w:p>
        </w:tc>
        <w:tc>
          <w:tcPr>
            <w:tcW w:w="92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突出学习宣传党章，开展“党员学党章知党史考法律”、“党章党规伴我行”等专题活动，教育广大党员以党章为根本遵循，尊崇党章、遵守党章、贯彻党章、维护党章。把学习掌握党内法规作为合格党员的基本要求，列入党组织“三会一课”内容，列入党员、干部日常考核，促进党内法规学习宣传常态化、制度化。</w:t>
            </w:r>
          </w:p>
        </w:tc>
      </w:tr>
    </w:tbl>
    <w:p>
      <w:pPr>
        <w:jc w:val="both"/>
        <w:rPr>
          <w:rFonts w:hint="eastAsia" w:ascii="仿宋_GB2312" w:hAnsi="仿宋_GB2312" w:eastAsia="仿宋_GB2312" w:cs="仿宋_GB2312"/>
          <w:b/>
          <w:bCs/>
          <w:sz w:val="32"/>
          <w:szCs w:val="32"/>
        </w:rPr>
        <w:sectPr>
          <w:footerReference r:id="rId3" w:type="default"/>
          <w:pgSz w:w="16838" w:h="11906" w:orient="landscape"/>
          <w:pgMar w:top="1134" w:right="1474" w:bottom="1417" w:left="1587" w:header="1134" w:footer="1134" w:gutter="0"/>
          <w:pgNumType w:fmt="decimal" w:start="15"/>
          <w:cols w:space="720" w:num="1"/>
          <w:rtlGutter w:val="0"/>
          <w:docGrid w:type="lines" w:linePitch="312" w:charSpace="0"/>
        </w:sect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tbl>
      <w:tblPr>
        <w:tblStyle w:val="3"/>
        <w:tblpPr w:leftFromText="181" w:rightFromText="181" w:vertAnchor="page" w:horzAnchor="page" w:tblpX="1367" w:tblpY="14557"/>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494" w:type="dxa"/>
            <w:tcBorders>
              <w:top w:val="single" w:color="auto" w:sz="4" w:space="0"/>
              <w:left w:val="nil"/>
              <w:bottom w:val="single" w:color="auto" w:sz="4" w:space="0"/>
              <w:right w:val="nil"/>
            </w:tcBorders>
            <w:noWrap w:val="0"/>
            <w:vAlign w:val="bottom"/>
          </w:tcPr>
          <w:p>
            <w:pPr>
              <w:ind w:left="1239" w:leftChars="50" w:hanging="1134" w:hangingChars="40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福建省卫生健康委员会办公室</w:t>
            </w:r>
          </w:p>
        </w:tc>
        <w:tc>
          <w:tcPr>
            <w:tcW w:w="4494" w:type="dxa"/>
            <w:tcBorders>
              <w:top w:val="single" w:color="auto" w:sz="4" w:space="0"/>
              <w:left w:val="nil"/>
              <w:bottom w:val="single" w:color="auto" w:sz="4" w:space="0"/>
              <w:right w:val="nil"/>
            </w:tcBorders>
            <w:noWrap w:val="0"/>
            <w:vAlign w:val="bottom"/>
          </w:tcPr>
          <w:p>
            <w:pPr>
              <w:wordWrap w:val="0"/>
              <w:ind w:left="1134" w:right="105" w:rightChars="50" w:hanging="1134" w:hangingChars="405"/>
              <w:jc w:val="right"/>
              <w:rPr>
                <w:rFonts w:hint="eastAsia" w:ascii="仿宋_GB2312" w:hAnsi="仿宋_GB2312" w:eastAsia="仿宋_GB2312" w:cs="仿宋_GB2312"/>
                <w:sz w:val="28"/>
                <w:szCs w:val="28"/>
              </w:rPr>
            </w:pPr>
            <w:bookmarkStart w:id="0" w:name="py2"/>
            <w:r>
              <w:rPr>
                <w:rFonts w:ascii="仿宋_GB2312" w:hAnsi="仿宋_GB2312" w:cs="仿宋_GB2312"/>
                <w:sz w:val="28"/>
                <w:szCs w:val="28"/>
              </w:rPr>
              <w:t>202</w:t>
            </w:r>
            <w:r>
              <w:rPr>
                <w:rFonts w:hint="eastAsia" w:ascii="仿宋_GB2312" w:hAnsi="仿宋_GB2312" w:cs="仿宋_GB2312"/>
                <w:sz w:val="28"/>
                <w:szCs w:val="28"/>
                <w:lang w:val="en-US" w:eastAsia="zh-CN"/>
              </w:rPr>
              <w:t>2</w:t>
            </w:r>
            <w:bookmarkEnd w:id="0"/>
            <w:r>
              <w:rPr>
                <w:rFonts w:hint="eastAsia" w:ascii="仿宋_GB2312" w:hAnsi="仿宋_GB2312" w:eastAsia="仿宋_GB2312" w:cs="仿宋_GB2312"/>
                <w:sz w:val="28"/>
                <w:szCs w:val="28"/>
              </w:rPr>
              <w:t>年</w:t>
            </w:r>
            <w:bookmarkStart w:id="1" w:name="pm2"/>
            <w:r>
              <w:rPr>
                <w:rFonts w:hint="eastAsia" w:ascii="仿宋_GB2312" w:hAnsi="仿宋_GB2312" w:eastAsia="仿宋_GB2312" w:cs="仿宋_GB2312"/>
                <w:sz w:val="28"/>
                <w:szCs w:val="28"/>
                <w:lang w:val="en-US" w:eastAsia="zh-CN"/>
              </w:rPr>
              <w:t>5</w:t>
            </w:r>
            <w:bookmarkEnd w:id="1"/>
            <w:r>
              <w:rPr>
                <w:rFonts w:hint="eastAsia" w:ascii="仿宋_GB2312" w:hAnsi="仿宋_GB2312" w:eastAsia="仿宋_GB2312" w:cs="仿宋_GB2312"/>
                <w:sz w:val="28"/>
                <w:szCs w:val="28"/>
              </w:rPr>
              <w:t>月</w:t>
            </w:r>
            <w:bookmarkStart w:id="2" w:name="pd2"/>
            <w:r>
              <w:rPr>
                <w:rFonts w:hint="eastAsia" w:ascii="仿宋_GB2312" w:hAnsi="仿宋_GB2312" w:eastAsia="仿宋_GB2312" w:cs="仿宋_GB2312"/>
                <w:sz w:val="28"/>
                <w:szCs w:val="28"/>
                <w:lang w:val="en-US" w:eastAsia="zh-CN"/>
              </w:rPr>
              <w:t>31</w:t>
            </w:r>
            <w:bookmarkEnd w:id="2"/>
            <w:r>
              <w:rPr>
                <w:rFonts w:hint="eastAsia" w:ascii="仿宋_GB2312" w:hAnsi="仿宋_GB2312" w:eastAsia="仿宋_GB2312" w:cs="仿宋_GB2312"/>
                <w:sz w:val="28"/>
                <w:szCs w:val="28"/>
              </w:rPr>
              <w:t>日印发</w:t>
            </w:r>
          </w:p>
        </w:tc>
      </w:tr>
    </w:tbl>
    <w:p>
      <w:pPr>
        <w:jc w:val="both"/>
        <w:rPr>
          <w:rFonts w:hint="eastAsia" w:ascii="仿宋_GB2312" w:hAnsi="仿宋_GB2312" w:eastAsia="仿宋_GB2312" w:cs="仿宋_GB2312"/>
          <w:b/>
          <w:bCs/>
          <w:sz w:val="32"/>
          <w:szCs w:val="32"/>
        </w:rPr>
      </w:pPr>
    </w:p>
    <w:p>
      <w:bookmarkStart w:id="3" w:name="_GoBack"/>
      <w:bookmarkEnd w:id="3"/>
    </w:p>
    <w:sectPr>
      <w:footerReference r:id="rId4" w:type="default"/>
      <w:pgSz w:w="11906" w:h="16838"/>
      <w:pgMar w:top="1474" w:right="1417" w:bottom="1587" w:left="1134" w:header="1134" w:footer="1134" w:gutter="0"/>
      <w:pgNumType w:fmt="decimal" w:start="2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7633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2022-06-09T01:47:52Z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710E7AD22C924FFA828D2612DB1D96D7</vt:lpwstr>
  </property>
</Properties>
</file>