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附件</w:t>
      </w:r>
    </w:p>
    <w:p>
      <w:pPr>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2022年全民营养周暨“5·20”中国学生营养日宣传活动方案</w:t>
      </w:r>
    </w:p>
    <w:p>
      <w:pPr>
        <w:widowControl/>
        <w:shd w:val="clear" w:color="auto" w:fill="FFFFFF"/>
        <w:adjustRightInd w:val="0"/>
        <w:snapToGrid w:val="0"/>
        <w:spacing w:line="570" w:lineRule="exact"/>
        <w:ind w:left="0" w:right="0" w:firstLine="672" w:firstLineChars="200"/>
        <w:rPr>
          <w:rFonts w:hint="eastAsia" w:ascii="黑体" w:hAnsi="黑体" w:eastAsia="黑体" w:cs="黑体"/>
          <w:b w:val="0"/>
          <w:bCs w:val="0"/>
          <w:color w:val="000000"/>
          <w:spacing w:val="8"/>
          <w:kern w:val="0"/>
          <w:sz w:val="32"/>
          <w:szCs w:val="32"/>
        </w:rPr>
      </w:pPr>
      <w:r>
        <w:rPr>
          <w:rFonts w:hint="eastAsia" w:ascii="黑体" w:hAnsi="黑体" w:eastAsia="黑体" w:cs="黑体"/>
          <w:b w:val="0"/>
          <w:bCs w:val="0"/>
          <w:color w:val="000000"/>
          <w:spacing w:val="8"/>
          <w:kern w:val="0"/>
          <w:sz w:val="32"/>
          <w:szCs w:val="32"/>
        </w:rPr>
        <w:t>一、宣传内容和主题</w:t>
      </w:r>
    </w:p>
    <w:p>
      <w:pPr>
        <w:widowControl/>
        <w:shd w:val="clear" w:color="auto" w:fill="FFFFFF"/>
        <w:adjustRightInd w:val="0"/>
        <w:snapToGrid w:val="0"/>
        <w:spacing w:line="570" w:lineRule="exact"/>
        <w:ind w:left="0" w:right="0"/>
        <w:rPr>
          <w:rFonts w:hint="eastAsia" w:ascii="仿宋_GB2312" w:hAnsi="仿宋_GB2312" w:eastAsia="仿宋_GB2312" w:cs="仿宋_GB2312"/>
          <w:b/>
          <w:bCs/>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lang w:val="en-US" w:eastAsia="zh-CN"/>
        </w:rPr>
        <w:t xml:space="preserve">    </w:t>
      </w:r>
      <w:r>
        <w:rPr>
          <w:rFonts w:hint="eastAsia" w:ascii="仿宋_GB2312" w:hAnsi="仿宋_GB2312" w:eastAsia="仿宋_GB2312" w:cs="仿宋_GB2312"/>
          <w:b/>
          <w:bCs/>
          <w:color w:val="000000"/>
          <w:spacing w:val="8"/>
          <w:kern w:val="0"/>
          <w:sz w:val="32"/>
          <w:szCs w:val="32"/>
        </w:rPr>
        <w:t>（一）全民营养周</w:t>
      </w:r>
    </w:p>
    <w:p>
      <w:pPr>
        <w:widowControl/>
        <w:shd w:val="clear" w:color="auto" w:fill="FFFFFF"/>
        <w:adjustRightInd w:val="0"/>
        <w:snapToGrid w:val="0"/>
        <w:spacing w:line="570" w:lineRule="exact"/>
        <w:ind w:left="0" w:right="0" w:firstLine="672" w:firstLineChars="200"/>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kern w:val="0"/>
          <w:sz w:val="32"/>
          <w:szCs w:val="32"/>
        </w:rPr>
        <w:t>全民营养周以膳食指南核心信息为依托，突出食物、膳食和营养健康知识及技能传播，以全民动员为目的，充分调动全</w:t>
      </w:r>
      <w:r>
        <w:rPr>
          <w:rFonts w:hint="eastAsia" w:ascii="仿宋_GB2312" w:hAnsi="仿宋_GB2312" w:eastAsia="仿宋_GB2312" w:cs="仿宋_GB2312"/>
          <w:color w:val="000000"/>
          <w:spacing w:val="8"/>
          <w:kern w:val="0"/>
          <w:sz w:val="32"/>
          <w:szCs w:val="32"/>
          <w:lang w:eastAsia="zh-CN"/>
        </w:rPr>
        <w:t>省</w:t>
      </w:r>
      <w:r>
        <w:rPr>
          <w:rFonts w:hint="eastAsia" w:ascii="仿宋_GB2312" w:hAnsi="仿宋_GB2312" w:eastAsia="仿宋_GB2312" w:cs="仿宋_GB2312"/>
          <w:color w:val="000000"/>
          <w:spacing w:val="8"/>
          <w:kern w:val="0"/>
          <w:sz w:val="32"/>
          <w:szCs w:val="32"/>
        </w:rPr>
        <w:t>营养行业资源，全面提升公民健康素养和科普公共服务能力，为全民科学素质提高和健康</w:t>
      </w:r>
      <w:r>
        <w:rPr>
          <w:rFonts w:hint="eastAsia" w:ascii="仿宋_GB2312" w:hAnsi="仿宋_GB2312" w:eastAsia="仿宋_GB2312" w:cs="仿宋_GB2312"/>
          <w:color w:val="000000"/>
          <w:spacing w:val="8"/>
          <w:kern w:val="0"/>
          <w:sz w:val="32"/>
          <w:szCs w:val="32"/>
          <w:lang w:eastAsia="zh-CN"/>
        </w:rPr>
        <w:t>福建</w:t>
      </w:r>
      <w:r>
        <w:rPr>
          <w:rFonts w:hint="eastAsia" w:ascii="仿宋_GB2312" w:hAnsi="仿宋_GB2312" w:eastAsia="仿宋_GB2312" w:cs="仿宋_GB2312"/>
          <w:color w:val="000000"/>
          <w:spacing w:val="8"/>
          <w:kern w:val="0"/>
          <w:sz w:val="32"/>
          <w:szCs w:val="32"/>
        </w:rPr>
        <w:t>建设做贡献。2022年主要内容为：贯彻落实《“健康福建2030”</w:t>
      </w:r>
      <w:r>
        <w:rPr>
          <w:rFonts w:hint="eastAsia" w:ascii="仿宋_GB2312" w:hAnsi="仿宋_GB2312" w:eastAsia="仿宋_GB2312" w:cs="仿宋_GB2312"/>
          <w:color w:val="000000"/>
          <w:spacing w:val="8"/>
          <w:kern w:val="0"/>
          <w:sz w:val="32"/>
          <w:szCs w:val="32"/>
          <w:lang w:eastAsia="zh-CN"/>
        </w:rPr>
        <w:t>行动规划</w:t>
      </w:r>
      <w:r>
        <w:rPr>
          <w:rFonts w:hint="eastAsia" w:ascii="仿宋_GB2312" w:hAnsi="仿宋_GB2312" w:eastAsia="仿宋_GB2312" w:cs="仿宋_GB2312"/>
          <w:color w:val="000000"/>
          <w:spacing w:val="8"/>
          <w:kern w:val="0"/>
          <w:sz w:val="32"/>
          <w:szCs w:val="32"/>
        </w:rPr>
        <w:t>》《福建省居民营养计划（2017－2030年）》，开展《中国居民膳食指南(2022)》核心信息宣传教育，推动《营养健康餐厅建设指南》《营养健康食堂建设指南》《餐饮食品营养标识指南》落地，促进</w:t>
      </w:r>
      <w:r>
        <w:rPr>
          <w:rFonts w:hint="eastAsia" w:ascii="仿宋_GB2312" w:hAnsi="仿宋_GB2312" w:eastAsia="仿宋_GB2312" w:cs="仿宋_GB2312"/>
          <w:color w:val="000000"/>
          <w:spacing w:val="8"/>
          <w:kern w:val="0"/>
          <w:sz w:val="32"/>
          <w:szCs w:val="32"/>
          <w:lang w:eastAsia="zh-CN"/>
        </w:rPr>
        <w:t>居</w:t>
      </w:r>
      <w:r>
        <w:rPr>
          <w:rFonts w:hint="eastAsia" w:ascii="仿宋_GB2312" w:hAnsi="仿宋_GB2312" w:eastAsia="仿宋_GB2312" w:cs="仿宋_GB2312"/>
          <w:color w:val="000000"/>
          <w:spacing w:val="8"/>
          <w:kern w:val="0"/>
          <w:sz w:val="32"/>
          <w:szCs w:val="32"/>
        </w:rPr>
        <w:t>民健康饮食习惯的形成和巩固，培养健康选择、健康烹饪行为，将合理膳食行动落到实处。</w:t>
      </w:r>
    </w:p>
    <w:p>
      <w:pPr>
        <w:widowControl/>
        <w:shd w:val="clear" w:color="auto" w:fill="FFFFFF"/>
        <w:adjustRightInd w:val="0"/>
        <w:snapToGrid w:val="0"/>
        <w:spacing w:line="570" w:lineRule="exact"/>
        <w:ind w:left="0" w:right="0" w:firstLine="672" w:firstLineChars="200"/>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kern w:val="0"/>
          <w:sz w:val="32"/>
          <w:szCs w:val="32"/>
        </w:rPr>
        <w:t>2022年全民营养周的传播主题为“全烹会选  会看标签”。全民营养周Logo为永久标识，如下图所示：</w:t>
      </w:r>
    </w:p>
    <w:p>
      <w:pPr>
        <w:widowControl/>
        <w:shd w:val="clear" w:color="auto" w:fill="FFFFFF"/>
        <w:adjustRightInd w:val="0"/>
        <w:snapToGrid w:val="0"/>
        <w:spacing w:line="590" w:lineRule="exact"/>
        <w:ind w:left="0" w:right="0" w:firstLine="452" w:firstLineChars="200"/>
        <w:rPr>
          <w:rFonts w:hint="eastAsia" w:ascii="仿宋_GB2312" w:hAnsi="仿宋_GB2312" w:eastAsia="仿宋_GB2312" w:cs="仿宋_GB2312"/>
          <w:color w:val="000000"/>
          <w:spacing w:val="8"/>
          <w:kern w:val="0"/>
          <w:sz w:val="32"/>
          <w:szCs w:val="32"/>
        </w:rPr>
      </w:pPr>
      <w:r>
        <w:rPr>
          <w:rFonts w:ascii="宋体" w:hAnsi="宋体" w:eastAsia="宋体" w:cs="宋体"/>
          <w:color w:val="000000"/>
          <w:spacing w:val="8"/>
          <w:kern w:val="0"/>
          <w:szCs w:val="21"/>
        </w:rPr>
        <w:drawing>
          <wp:anchor distT="0" distB="0" distL="114300" distR="114300" simplePos="0" relativeHeight="251662336" behindDoc="0" locked="0" layoutInCell="1" allowOverlap="1">
            <wp:simplePos x="0" y="0"/>
            <wp:positionH relativeFrom="column">
              <wp:posOffset>1743075</wp:posOffset>
            </wp:positionH>
            <wp:positionV relativeFrom="paragraph">
              <wp:posOffset>102870</wp:posOffset>
            </wp:positionV>
            <wp:extent cx="1657350" cy="1382395"/>
            <wp:effectExtent l="0" t="0" r="0" b="825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1657350" cy="1382395"/>
                    </a:xfrm>
                    <a:prstGeom prst="rect">
                      <a:avLst/>
                    </a:prstGeom>
                    <a:noFill/>
                    <a:ln>
                      <a:noFill/>
                    </a:ln>
                  </pic:spPr>
                </pic:pic>
              </a:graphicData>
            </a:graphic>
          </wp:anchor>
        </w:drawing>
      </w:r>
    </w:p>
    <w:p>
      <w:pPr>
        <w:widowControl/>
        <w:shd w:val="clear" w:color="auto" w:fill="FFFFFF"/>
        <w:adjustRightInd w:val="0"/>
        <w:snapToGrid w:val="0"/>
        <w:spacing w:line="590" w:lineRule="exact"/>
        <w:ind w:left="0" w:right="0" w:firstLine="672" w:firstLineChars="200"/>
        <w:rPr>
          <w:rFonts w:hint="eastAsia" w:ascii="仿宋_GB2312" w:hAnsi="仿宋_GB2312" w:eastAsia="仿宋_GB2312" w:cs="仿宋_GB2312"/>
          <w:color w:val="000000"/>
          <w:spacing w:val="8"/>
          <w:kern w:val="0"/>
          <w:sz w:val="32"/>
          <w:szCs w:val="32"/>
        </w:rPr>
      </w:pPr>
    </w:p>
    <w:p>
      <w:pPr>
        <w:widowControl/>
        <w:shd w:val="clear" w:color="auto" w:fill="FFFFFF"/>
        <w:adjustRightInd w:val="0"/>
        <w:snapToGrid w:val="0"/>
        <w:spacing w:line="590" w:lineRule="exact"/>
        <w:ind w:left="0" w:right="0" w:firstLine="672" w:firstLineChars="200"/>
        <w:rPr>
          <w:rFonts w:hint="eastAsia" w:ascii="仿宋_GB2312" w:hAnsi="仿宋_GB2312" w:eastAsia="仿宋_GB2312" w:cs="仿宋_GB2312"/>
          <w:color w:val="000000"/>
          <w:spacing w:val="8"/>
          <w:kern w:val="0"/>
          <w:sz w:val="32"/>
          <w:szCs w:val="32"/>
        </w:rPr>
      </w:pPr>
    </w:p>
    <w:p>
      <w:pPr>
        <w:widowControl/>
        <w:shd w:val="clear" w:color="auto" w:fill="FFFFFF"/>
        <w:adjustRightInd w:val="0"/>
        <w:snapToGrid w:val="0"/>
        <w:spacing w:line="590" w:lineRule="exact"/>
        <w:ind w:left="0" w:right="0" w:firstLine="4368" w:firstLineChars="1300"/>
        <w:rPr>
          <w:rFonts w:hint="eastAsia" w:ascii="仿宋_GB2312" w:hAnsi="仿宋_GB2312" w:eastAsia="仿宋_GB2312" w:cs="仿宋_GB2312"/>
          <w:color w:val="000000"/>
          <w:spacing w:val="8"/>
          <w:kern w:val="0"/>
          <w:sz w:val="32"/>
          <w:szCs w:val="32"/>
        </w:rPr>
      </w:pPr>
    </w:p>
    <w:p>
      <w:pPr>
        <w:widowControl/>
        <w:shd w:val="clear" w:color="auto" w:fill="FFFFFF"/>
        <w:ind w:left="120" w:right="120" w:firstLine="2418" w:firstLineChars="1070"/>
        <w:jc w:val="both"/>
        <w:rPr>
          <w:rFonts w:hint="eastAsia" w:ascii="仿宋_GB2312" w:hAnsi="仿宋_GB2312" w:eastAsia="仿宋_GB2312" w:cs="仿宋_GB2312"/>
          <w:color w:val="000000"/>
          <w:spacing w:val="8"/>
          <w:kern w:val="0"/>
          <w:szCs w:val="21"/>
        </w:rPr>
      </w:pPr>
      <w:r>
        <w:rPr>
          <w:rFonts w:hint="eastAsia" w:ascii="仿宋_GB2312" w:hAnsi="仿宋_GB2312" w:eastAsia="仿宋_GB2312" w:cs="仿宋_GB2312"/>
          <w:color w:val="000000"/>
          <w:spacing w:val="8"/>
          <w:szCs w:val="21"/>
          <w:shd w:val="clear" w:color="auto" w:fill="FFFFFF"/>
        </w:rPr>
        <w:t>全民营养周LOGO，为永久标识</w:t>
      </w:r>
    </w:p>
    <w:p>
      <w:pPr>
        <w:widowControl/>
        <w:shd w:val="clear" w:color="auto" w:fill="FFFFFF"/>
        <w:snapToGrid w:val="0"/>
        <w:spacing w:line="660" w:lineRule="exact"/>
        <w:ind w:left="119" w:right="119" w:firstLine="675" w:firstLineChars="200"/>
        <w:rPr>
          <w:rFonts w:hint="eastAsia" w:ascii="仿宋_GB2312" w:hAnsi="仿宋_GB2312" w:eastAsia="仿宋_GB2312" w:cs="仿宋_GB2312"/>
          <w:b/>
          <w:bCs/>
          <w:color w:val="000000"/>
          <w:spacing w:val="8"/>
          <w:kern w:val="0"/>
          <w:sz w:val="32"/>
          <w:szCs w:val="32"/>
        </w:rPr>
      </w:pPr>
      <w:r>
        <w:rPr>
          <w:rFonts w:hint="eastAsia" w:ascii="仿宋_GB2312" w:hAnsi="仿宋_GB2312" w:eastAsia="仿宋_GB2312" w:cs="仿宋_GB2312"/>
          <w:b/>
          <w:bCs/>
          <w:color w:val="000000"/>
          <w:spacing w:val="8"/>
          <w:kern w:val="0"/>
          <w:sz w:val="32"/>
          <w:szCs w:val="32"/>
        </w:rPr>
        <w:t>（二）“5·20”中国学生营养日活动</w:t>
      </w:r>
    </w:p>
    <w:p>
      <w:pPr>
        <w:widowControl/>
        <w:shd w:val="clear" w:color="auto" w:fill="FFFFFF"/>
        <w:snapToGrid w:val="0"/>
        <w:spacing w:line="660" w:lineRule="exact"/>
        <w:ind w:left="119" w:right="119" w:firstLine="672" w:firstLineChars="200"/>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kern w:val="0"/>
          <w:sz w:val="32"/>
          <w:szCs w:val="32"/>
        </w:rPr>
        <w:tab/>
      </w:r>
      <w:r>
        <w:rPr>
          <w:rFonts w:hint="eastAsia" w:ascii="仿宋_GB2312" w:hAnsi="仿宋_GB2312" w:eastAsia="仿宋_GB2312" w:cs="仿宋_GB2312"/>
          <w:color w:val="000000"/>
          <w:spacing w:val="8"/>
          <w:kern w:val="0"/>
          <w:sz w:val="32"/>
          <w:szCs w:val="32"/>
        </w:rPr>
        <w:t>“5·20”中国学生营养日以提高儿童青少年健康水平和素养为核心，以促进儿童青少年吃动平衡为重点，强化政府、社会、个人责任、推进家庭、学校、社会医疗机构密切协作。2022年主要内容为：贯彻落实《</w:t>
      </w:r>
      <w:r>
        <w:rPr>
          <w:rFonts w:hint="eastAsia" w:ascii="仿宋_GB2312" w:hAnsi="仿宋_GB2312" w:eastAsia="仿宋_GB2312" w:cs="仿宋_GB2312"/>
          <w:color w:val="000000"/>
          <w:spacing w:val="8"/>
          <w:kern w:val="0"/>
          <w:sz w:val="32"/>
          <w:szCs w:val="32"/>
          <w:lang w:eastAsia="zh-CN"/>
        </w:rPr>
        <w:t>福建省居民</w:t>
      </w:r>
      <w:r>
        <w:rPr>
          <w:rFonts w:hint="eastAsia" w:ascii="仿宋_GB2312" w:hAnsi="仿宋_GB2312" w:eastAsia="仿宋_GB2312" w:cs="仿宋_GB2312"/>
          <w:color w:val="000000"/>
          <w:spacing w:val="8"/>
          <w:kern w:val="0"/>
          <w:sz w:val="32"/>
          <w:szCs w:val="32"/>
        </w:rPr>
        <w:t>营养计划（2017-2030年）》，《学校食品安全与营养健康管理规定》有关要求，以《儿童青少年肥胖防控实施方案》为指导，传播《中国儿童青少年营养与健康指导指南（2022）》核心信息，大力普及营养健康和身体活动知识，优化儿童青少年体重管理服务，推动肥胖支持性环境建设，有效遏制超重肥胖流行，促进儿童青少年健康成长，助力健康中国建设。</w:t>
      </w:r>
    </w:p>
    <w:p>
      <w:pPr>
        <w:widowControl/>
        <w:shd w:val="clear" w:color="auto" w:fill="FFFFFF"/>
        <w:snapToGrid w:val="0"/>
        <w:spacing w:line="660" w:lineRule="exact"/>
        <w:ind w:left="119" w:right="119" w:firstLine="672" w:firstLineChars="200"/>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kern w:val="0"/>
          <w:sz w:val="32"/>
          <w:szCs w:val="32"/>
        </w:rPr>
        <w:t>2022年“5·20”中国学生营养日活动主题“知营养 会运动 防肥胖 促健康”。“5·20”中国学生营养日logo为永久标识，如下图所示：</w:t>
      </w:r>
    </w:p>
    <w:p>
      <w:pPr>
        <w:widowControl/>
        <w:shd w:val="clear" w:color="auto" w:fill="FFFFFF"/>
        <w:jc w:val="center"/>
        <w:rPr>
          <w:rFonts w:ascii="Microsoft YaHei UI" w:hAnsi="Microsoft YaHei UI" w:eastAsia="Microsoft YaHei UI" w:cs="宋体"/>
          <w:color w:val="000000"/>
          <w:spacing w:val="8"/>
          <w:kern w:val="0"/>
          <w:sz w:val="26"/>
          <w:szCs w:val="26"/>
        </w:rPr>
      </w:pPr>
      <w:r>
        <w:rPr>
          <w:rFonts w:ascii="Microsoft YaHei UI" w:hAnsi="Microsoft YaHei UI" w:eastAsia="Microsoft YaHei UI" w:cs="宋体"/>
          <w:color w:val="000000"/>
          <w:spacing w:val="8"/>
          <w:kern w:val="0"/>
          <w:sz w:val="26"/>
          <w:szCs w:val="26"/>
        </w:rPr>
        <w:drawing>
          <wp:inline distT="0" distB="0" distL="114300" distR="114300">
            <wp:extent cx="1819275" cy="1555750"/>
            <wp:effectExtent l="0" t="0" r="0" b="0"/>
            <wp:docPr id="2"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片"/>
                    <pic:cNvPicPr>
                      <a:picLocks noChangeAspect="1"/>
                    </pic:cNvPicPr>
                  </pic:nvPicPr>
                  <pic:blipFill>
                    <a:blip r:embed="rId6"/>
                    <a:stretch>
                      <a:fillRect/>
                    </a:stretch>
                  </pic:blipFill>
                  <pic:spPr>
                    <a:xfrm>
                      <a:off x="0" y="0"/>
                      <a:ext cx="1819275" cy="1555750"/>
                    </a:xfrm>
                    <a:prstGeom prst="rect">
                      <a:avLst/>
                    </a:prstGeom>
                    <a:noFill/>
                    <a:ln>
                      <a:noFill/>
                    </a:ln>
                  </pic:spPr>
                </pic:pic>
              </a:graphicData>
            </a:graphic>
          </wp:inline>
        </w:drawing>
      </w:r>
    </w:p>
    <w:p>
      <w:pPr>
        <w:widowControl/>
        <w:shd w:val="clear" w:color="auto" w:fill="FFFFFF"/>
        <w:ind w:left="120" w:right="120"/>
        <w:jc w:val="center"/>
        <w:rPr>
          <w:rFonts w:hint="eastAsia" w:ascii="仿宋_GB2312" w:hAnsi="仿宋_GB2312" w:eastAsia="仿宋_GB2312" w:cs="仿宋_GB2312"/>
          <w:color w:val="000000"/>
          <w:spacing w:val="8"/>
          <w:szCs w:val="21"/>
          <w:shd w:val="clear" w:color="auto" w:fill="FFFFFF"/>
        </w:rPr>
      </w:pPr>
      <w:r>
        <w:rPr>
          <w:rFonts w:hint="eastAsia" w:ascii="仿宋_GB2312" w:hAnsi="仿宋_GB2312" w:eastAsia="仿宋_GB2312" w:cs="仿宋_GB2312"/>
          <w:color w:val="000000"/>
          <w:spacing w:val="8"/>
          <w:szCs w:val="21"/>
          <w:shd w:val="clear" w:color="auto" w:fill="FFFFFF"/>
        </w:rPr>
        <w:t>“5·20”中国学生营养日LOGO，为永久标识</w:t>
      </w:r>
    </w:p>
    <w:p>
      <w:pPr>
        <w:widowControl/>
        <w:shd w:val="clear" w:color="auto" w:fill="FFFFFF"/>
        <w:ind w:right="120"/>
        <w:rPr>
          <w:rFonts w:hint="eastAsia" w:ascii="仿宋_GB2312" w:hAnsi="仿宋_GB2312" w:eastAsia="仿宋_GB2312" w:cs="仿宋_GB2312"/>
          <w:b/>
          <w:bCs/>
          <w:color w:val="000000"/>
          <w:spacing w:val="8"/>
          <w:kern w:val="0"/>
          <w:sz w:val="32"/>
          <w:szCs w:val="32"/>
        </w:rPr>
      </w:pPr>
      <w:r>
        <w:rPr>
          <w:rFonts w:hint="eastAsia" w:ascii="仿宋_GB2312" w:hAnsi="仿宋_GB2312" w:eastAsia="仿宋_GB2312" w:cs="仿宋_GB2312"/>
          <w:b/>
          <w:bCs/>
          <w:color w:val="000000"/>
          <w:spacing w:val="8"/>
          <w:kern w:val="0"/>
          <w:sz w:val="32"/>
          <w:szCs w:val="32"/>
          <w:lang w:val="en-US" w:eastAsia="zh-CN"/>
        </w:rPr>
        <w:t xml:space="preserve">    </w:t>
      </w:r>
      <w:r>
        <w:rPr>
          <w:rFonts w:hint="eastAsia" w:ascii="黑体" w:hAnsi="黑体" w:eastAsia="黑体" w:cs="黑体"/>
          <w:b w:val="0"/>
          <w:bCs w:val="0"/>
          <w:color w:val="000000"/>
          <w:spacing w:val="8"/>
          <w:kern w:val="0"/>
          <w:sz w:val="32"/>
          <w:szCs w:val="32"/>
        </w:rPr>
        <w:t>二、活动安排</w:t>
      </w:r>
    </w:p>
    <w:p>
      <w:pPr>
        <w:widowControl/>
        <w:shd w:val="clear" w:color="auto" w:fill="FFFFFF"/>
        <w:ind w:right="120"/>
        <w:rPr>
          <w:rFonts w:hint="eastAsia" w:ascii="楷体_GB2312" w:hAnsi="楷体_GB2312" w:eastAsia="楷体_GB2312" w:cs="楷体_GB2312"/>
          <w:b w:val="0"/>
          <w:bCs w:val="0"/>
          <w:color w:val="000000"/>
          <w:spacing w:val="8"/>
          <w:kern w:val="0"/>
          <w:sz w:val="32"/>
          <w:szCs w:val="32"/>
        </w:rPr>
      </w:pPr>
      <w:r>
        <w:rPr>
          <w:rFonts w:hint="eastAsia" w:ascii="仿宋_GB2312" w:hAnsi="仿宋_GB2312" w:eastAsia="仿宋_GB2312" w:cs="仿宋_GB2312"/>
          <w:b/>
          <w:bCs/>
          <w:color w:val="000000"/>
          <w:spacing w:val="8"/>
          <w:kern w:val="0"/>
          <w:sz w:val="32"/>
          <w:szCs w:val="32"/>
          <w:lang w:val="en-US" w:eastAsia="zh-CN"/>
        </w:rPr>
        <w:t xml:space="preserve">  </w:t>
      </w:r>
      <w:r>
        <w:rPr>
          <w:rFonts w:hint="eastAsia" w:ascii="楷体_GB2312" w:hAnsi="楷体_GB2312" w:eastAsia="楷体_GB2312" w:cs="楷体_GB2312"/>
          <w:b w:val="0"/>
          <w:bCs w:val="0"/>
          <w:color w:val="000000"/>
          <w:spacing w:val="8"/>
          <w:kern w:val="0"/>
          <w:sz w:val="32"/>
          <w:szCs w:val="32"/>
          <w:lang w:val="en-US" w:eastAsia="zh-CN"/>
        </w:rPr>
        <w:t xml:space="preserve">  </w:t>
      </w:r>
      <w:r>
        <w:rPr>
          <w:rFonts w:hint="eastAsia" w:ascii="楷体_GB2312" w:hAnsi="楷体_GB2312" w:eastAsia="楷体_GB2312" w:cs="楷体_GB2312"/>
          <w:b w:val="0"/>
          <w:bCs w:val="0"/>
          <w:color w:val="000000"/>
          <w:spacing w:val="8"/>
          <w:kern w:val="0"/>
          <w:sz w:val="32"/>
          <w:szCs w:val="32"/>
        </w:rPr>
        <w:t>（一）</w:t>
      </w:r>
      <w:r>
        <w:rPr>
          <w:rFonts w:hint="eastAsia" w:ascii="楷体_GB2312" w:hAnsi="楷体_GB2312" w:eastAsia="楷体_GB2312" w:cs="楷体_GB2312"/>
          <w:b w:val="0"/>
          <w:bCs w:val="0"/>
          <w:color w:val="000000"/>
          <w:spacing w:val="8"/>
          <w:kern w:val="0"/>
          <w:sz w:val="32"/>
          <w:szCs w:val="32"/>
          <w:lang w:val="en-US" w:eastAsia="zh-CN"/>
        </w:rPr>
        <w:t>省级</w:t>
      </w:r>
      <w:r>
        <w:rPr>
          <w:rFonts w:hint="eastAsia" w:ascii="楷体_GB2312" w:hAnsi="楷体_GB2312" w:eastAsia="楷体_GB2312" w:cs="楷体_GB2312"/>
          <w:b w:val="0"/>
          <w:bCs w:val="0"/>
          <w:color w:val="000000"/>
          <w:spacing w:val="8"/>
          <w:kern w:val="0"/>
          <w:sz w:val="32"/>
          <w:szCs w:val="32"/>
        </w:rPr>
        <w:t>层面</w:t>
      </w:r>
    </w:p>
    <w:p>
      <w:pPr>
        <w:widowControl/>
        <w:numPr>
          <w:ilvl w:val="0"/>
          <w:numId w:val="0"/>
        </w:numPr>
        <w:shd w:val="clear" w:color="auto" w:fill="FFFFFF"/>
        <w:snapToGrid w:val="0"/>
        <w:spacing w:line="600" w:lineRule="exact"/>
        <w:ind w:right="119" w:rightChars="0"/>
        <w:rPr>
          <w:rFonts w:hint="eastAsia" w:ascii="仿宋_GB2312" w:hAnsi="仿宋_GB2312" w:eastAsia="仿宋_GB2312" w:cs="仿宋_GB2312"/>
          <w:b/>
          <w:bCs/>
          <w:color w:val="000000"/>
          <w:spacing w:val="8"/>
          <w:kern w:val="0"/>
          <w:sz w:val="32"/>
          <w:szCs w:val="32"/>
          <w:lang w:val="en-US" w:eastAsia="zh-CN"/>
        </w:rPr>
      </w:pPr>
      <w:r>
        <w:rPr>
          <w:rFonts w:hint="eastAsia" w:ascii="仿宋_GB2312" w:hAnsi="仿宋_GB2312" w:eastAsia="仿宋_GB2312" w:cs="仿宋_GB2312"/>
          <w:b/>
          <w:bCs/>
          <w:color w:val="000000"/>
          <w:spacing w:val="8"/>
          <w:kern w:val="0"/>
          <w:sz w:val="32"/>
          <w:szCs w:val="32"/>
          <w:lang w:val="en-US" w:eastAsia="zh-CN"/>
        </w:rPr>
        <w:t xml:space="preserve">    1.总体安排</w:t>
      </w:r>
    </w:p>
    <w:p>
      <w:pPr>
        <w:widowControl/>
        <w:numPr>
          <w:ilvl w:val="0"/>
          <w:numId w:val="0"/>
        </w:numPr>
        <w:shd w:val="clear" w:color="auto" w:fill="FFFFFF"/>
        <w:snapToGrid w:val="0"/>
        <w:spacing w:line="600" w:lineRule="exact"/>
        <w:ind w:right="119" w:rightChars="0"/>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kern w:val="0"/>
          <w:sz w:val="32"/>
          <w:szCs w:val="32"/>
          <w:lang w:val="en-US" w:eastAsia="zh-CN"/>
        </w:rPr>
        <w:t xml:space="preserve">    </w:t>
      </w:r>
      <w:r>
        <w:rPr>
          <w:rFonts w:hint="eastAsia" w:ascii="仿宋_GB2312" w:hAnsi="仿宋_GB2312" w:eastAsia="仿宋_GB2312" w:cs="仿宋_GB2312"/>
          <w:color w:val="000000"/>
          <w:spacing w:val="8"/>
          <w:kern w:val="0"/>
          <w:sz w:val="32"/>
          <w:szCs w:val="32"/>
        </w:rPr>
        <w:t>以号召社会各界和大众参与为</w:t>
      </w:r>
      <w:r>
        <w:rPr>
          <w:rFonts w:hint="eastAsia" w:ascii="仿宋_GB2312" w:hAnsi="仿宋_GB2312" w:eastAsia="仿宋_GB2312" w:cs="仿宋_GB2312"/>
          <w:color w:val="000000"/>
          <w:spacing w:val="8"/>
          <w:kern w:val="0"/>
          <w:sz w:val="32"/>
          <w:szCs w:val="32"/>
          <w:lang w:eastAsia="zh-CN"/>
        </w:rPr>
        <w:t>目标</w:t>
      </w:r>
      <w:r>
        <w:rPr>
          <w:rFonts w:hint="eastAsia" w:ascii="仿宋_GB2312" w:hAnsi="仿宋_GB2312" w:eastAsia="仿宋_GB2312" w:cs="仿宋_GB2312"/>
          <w:color w:val="000000"/>
          <w:spacing w:val="8"/>
          <w:kern w:val="0"/>
          <w:sz w:val="32"/>
          <w:szCs w:val="32"/>
        </w:rPr>
        <w:t>，做好策划和社会动员，共同传播新版膳食指南核心信息和指导大众看标签、知营养的实践，共同促进全民营养健康行为改善。</w:t>
      </w:r>
    </w:p>
    <w:p>
      <w:pPr>
        <w:widowControl/>
        <w:numPr>
          <w:ilvl w:val="0"/>
          <w:numId w:val="0"/>
        </w:numPr>
        <w:shd w:val="clear" w:color="auto" w:fill="FFFFFF"/>
        <w:snapToGrid w:val="0"/>
        <w:spacing w:line="600" w:lineRule="exact"/>
        <w:ind w:right="119" w:rightChars="0"/>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kern w:val="0"/>
          <w:sz w:val="32"/>
          <w:szCs w:val="32"/>
          <w:lang w:val="en-US" w:eastAsia="zh-CN"/>
        </w:rPr>
        <w:t xml:space="preserve">    （1）</w:t>
      </w:r>
      <w:r>
        <w:rPr>
          <w:rFonts w:hint="eastAsia" w:ascii="仿宋_GB2312" w:hAnsi="仿宋_GB2312" w:eastAsia="仿宋_GB2312" w:cs="仿宋_GB2312"/>
          <w:color w:val="000000"/>
          <w:spacing w:val="8"/>
          <w:kern w:val="0"/>
          <w:sz w:val="32"/>
          <w:szCs w:val="32"/>
        </w:rPr>
        <w:t>委托</w:t>
      </w:r>
      <w:r>
        <w:rPr>
          <w:rFonts w:hint="eastAsia" w:ascii="仿宋_GB2312" w:hAnsi="仿宋_GB2312" w:eastAsia="仿宋_GB2312" w:cs="仿宋_GB2312"/>
          <w:color w:val="000000"/>
          <w:spacing w:val="8"/>
          <w:kern w:val="0"/>
          <w:sz w:val="32"/>
          <w:szCs w:val="32"/>
          <w:lang w:eastAsia="zh-CN"/>
        </w:rPr>
        <w:t>省疾控中心、相关行业学会</w:t>
      </w:r>
      <w:r>
        <w:rPr>
          <w:rFonts w:hint="eastAsia" w:ascii="仿宋_GB2312" w:hAnsi="仿宋_GB2312" w:eastAsia="仿宋_GB2312" w:cs="仿宋_GB2312"/>
          <w:color w:val="000000"/>
          <w:spacing w:val="8"/>
          <w:kern w:val="0"/>
          <w:sz w:val="32"/>
          <w:szCs w:val="32"/>
          <w:lang w:val="en-US" w:eastAsia="zh-CN"/>
        </w:rPr>
        <w:t>/</w:t>
      </w:r>
      <w:r>
        <w:rPr>
          <w:rFonts w:hint="eastAsia" w:ascii="仿宋_GB2312" w:hAnsi="仿宋_GB2312" w:eastAsia="仿宋_GB2312" w:cs="仿宋_GB2312"/>
          <w:color w:val="000000"/>
          <w:spacing w:val="8"/>
          <w:kern w:val="0"/>
          <w:sz w:val="32"/>
          <w:szCs w:val="32"/>
          <w:lang w:eastAsia="zh-CN"/>
        </w:rPr>
        <w:t>协会制作</w:t>
      </w:r>
      <w:r>
        <w:rPr>
          <w:rFonts w:hint="eastAsia" w:ascii="仿宋_GB2312" w:hAnsi="仿宋_GB2312" w:eastAsia="仿宋_GB2312" w:cs="仿宋_GB2312"/>
          <w:color w:val="000000"/>
          <w:sz w:val="32"/>
          <w:szCs w:val="32"/>
        </w:rPr>
        <w:t>“会烹会选 会看标签”</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pacing w:val="8"/>
          <w:kern w:val="0"/>
          <w:sz w:val="32"/>
          <w:szCs w:val="32"/>
        </w:rPr>
        <w:t>主题</w:t>
      </w:r>
      <w:r>
        <w:rPr>
          <w:rFonts w:hint="eastAsia" w:ascii="仿宋_GB2312" w:hAnsi="仿宋_GB2312" w:eastAsia="仿宋_GB2312" w:cs="仿宋_GB2312"/>
          <w:color w:val="000000"/>
          <w:spacing w:val="8"/>
          <w:kern w:val="0"/>
          <w:sz w:val="32"/>
          <w:szCs w:val="32"/>
          <w:lang w:eastAsia="zh-CN"/>
        </w:rPr>
        <w:t>宣传短片和</w:t>
      </w:r>
      <w:r>
        <w:rPr>
          <w:rFonts w:hint="eastAsia" w:ascii="仿宋_GB2312" w:hAnsi="仿宋_GB2312" w:eastAsia="仿宋_GB2312" w:cs="仿宋_GB2312"/>
          <w:color w:val="000000"/>
          <w:spacing w:val="8"/>
          <w:kern w:val="0"/>
          <w:sz w:val="32"/>
          <w:szCs w:val="32"/>
        </w:rPr>
        <w:t>海报，</w:t>
      </w:r>
      <w:r>
        <w:rPr>
          <w:rFonts w:hint="eastAsia" w:ascii="仿宋_GB2312" w:hAnsi="仿宋_GB2312" w:eastAsia="仿宋_GB2312" w:cs="仿宋_GB2312"/>
          <w:color w:val="000000"/>
          <w:sz w:val="32"/>
          <w:szCs w:val="32"/>
        </w:rPr>
        <w:t>设立“会烹会选 会看标签”专号、专栏，发布相关主题宣传材料</w:t>
      </w:r>
      <w:r>
        <w:rPr>
          <w:rFonts w:hint="eastAsia" w:ascii="仿宋_GB2312" w:hAnsi="仿宋_GB2312" w:eastAsia="仿宋_GB2312" w:cs="仿宋_GB2312"/>
          <w:color w:val="000000"/>
          <w:spacing w:val="8"/>
          <w:kern w:val="0"/>
          <w:sz w:val="32"/>
          <w:szCs w:val="32"/>
        </w:rPr>
        <w:t>。</w:t>
      </w:r>
    </w:p>
    <w:p>
      <w:pPr>
        <w:widowControl/>
        <w:numPr>
          <w:ilvl w:val="0"/>
          <w:numId w:val="0"/>
        </w:numPr>
        <w:shd w:val="clear" w:color="auto" w:fill="FFFFFF"/>
        <w:snapToGrid w:val="0"/>
        <w:spacing w:line="600" w:lineRule="exact"/>
        <w:ind w:right="119" w:right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（2）组织在社区、学校等场所开展营养宣传、健康咨询、现场义诊等活动。</w:t>
      </w:r>
    </w:p>
    <w:p>
      <w:pPr>
        <w:widowControl/>
        <w:numPr>
          <w:ilvl w:val="0"/>
          <w:numId w:val="0"/>
        </w:numPr>
        <w:shd w:val="clear" w:color="auto" w:fill="FFFFFF"/>
        <w:snapToGrid w:val="0"/>
        <w:spacing w:line="600" w:lineRule="exact"/>
        <w:ind w:right="119" w:right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（3）在全省范围内开展新版膳食指南和膳食宝塔等相关知识线上答题活动。</w:t>
      </w:r>
    </w:p>
    <w:p>
      <w:pPr>
        <w:widowControl/>
        <w:numPr>
          <w:ilvl w:val="0"/>
          <w:numId w:val="0"/>
        </w:numPr>
        <w:shd w:val="clear" w:color="auto" w:fill="FFFFFF"/>
        <w:snapToGrid w:val="0"/>
        <w:spacing w:line="600" w:lineRule="exact"/>
        <w:ind w:right="119" w:rightChars="0"/>
        <w:rPr>
          <w:rFonts w:hint="default"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（4）由全省八所高校代表录制宣教视频，向公众详细解读新版膳食指南八条准则。</w:t>
      </w:r>
    </w:p>
    <w:p>
      <w:pPr>
        <w:widowControl/>
        <w:numPr>
          <w:ilvl w:val="0"/>
          <w:numId w:val="0"/>
        </w:numPr>
        <w:shd w:val="clear" w:color="auto" w:fill="FFFFFF"/>
        <w:snapToGrid w:val="0"/>
        <w:spacing w:line="600" w:lineRule="exact"/>
        <w:ind w:right="119" w:right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（5）组织开展“膳食达人挑战赛”、“营养惠选行动”等活动。</w:t>
      </w:r>
    </w:p>
    <w:p>
      <w:pPr>
        <w:widowControl/>
        <w:shd w:val="clear" w:color="auto" w:fill="FFFFFF"/>
        <w:snapToGrid w:val="0"/>
        <w:spacing w:line="600" w:lineRule="exact"/>
        <w:ind w:left="120" w:right="119"/>
        <w:rPr>
          <w:rFonts w:hint="eastAsia" w:ascii="仿宋_GB2312" w:hAnsi="仿宋_GB2312" w:eastAsia="仿宋_GB2312" w:cs="仿宋_GB2312"/>
          <w:b/>
          <w:bCs/>
          <w:color w:val="000000"/>
          <w:spacing w:val="8"/>
          <w:kern w:val="0"/>
          <w:sz w:val="32"/>
          <w:szCs w:val="32"/>
        </w:rPr>
      </w:pPr>
      <w:r>
        <w:rPr>
          <w:rFonts w:hint="eastAsia" w:ascii="仿宋_GB2312" w:hAnsi="仿宋_GB2312" w:eastAsia="仿宋_GB2312" w:cs="仿宋_GB2312"/>
          <w:b/>
          <w:bCs/>
          <w:color w:val="000000"/>
          <w:spacing w:val="8"/>
          <w:kern w:val="0"/>
          <w:sz w:val="32"/>
          <w:szCs w:val="32"/>
          <w:lang w:val="en-US" w:eastAsia="zh-CN"/>
        </w:rPr>
        <w:t xml:space="preserve">    </w:t>
      </w:r>
      <w:r>
        <w:rPr>
          <w:rFonts w:hint="eastAsia" w:ascii="仿宋_GB2312" w:hAnsi="仿宋_GB2312" w:eastAsia="仿宋_GB2312" w:cs="仿宋_GB2312"/>
          <w:b/>
          <w:bCs/>
          <w:color w:val="000000"/>
          <w:spacing w:val="8"/>
          <w:kern w:val="0"/>
          <w:sz w:val="32"/>
          <w:szCs w:val="32"/>
        </w:rPr>
        <w:t>2.启动仪式</w:t>
      </w:r>
    </w:p>
    <w:p>
      <w:pPr>
        <w:widowControl/>
        <w:shd w:val="clear" w:color="auto" w:fill="FFFFFF"/>
        <w:snapToGrid w:val="0"/>
        <w:spacing w:line="600" w:lineRule="exact"/>
        <w:ind w:left="120" w:right="119" w:firstLine="672" w:firstLineChars="200"/>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kern w:val="0"/>
          <w:sz w:val="32"/>
          <w:szCs w:val="32"/>
        </w:rPr>
        <w:t>2022年全民营养周暨“5·20”中国学生营养日主场启动仪式拟于5月中旬在</w:t>
      </w:r>
      <w:r>
        <w:rPr>
          <w:rFonts w:hint="eastAsia" w:ascii="仿宋_GB2312" w:hAnsi="仿宋_GB2312" w:eastAsia="仿宋_GB2312" w:cs="仿宋_GB2312"/>
          <w:color w:val="000000"/>
          <w:spacing w:val="8"/>
          <w:kern w:val="0"/>
          <w:sz w:val="32"/>
          <w:szCs w:val="32"/>
          <w:lang w:eastAsia="zh-CN"/>
        </w:rPr>
        <w:t>福州</w:t>
      </w:r>
      <w:r>
        <w:rPr>
          <w:rFonts w:hint="eastAsia" w:ascii="仿宋_GB2312" w:hAnsi="仿宋_GB2312" w:eastAsia="仿宋_GB2312" w:cs="仿宋_GB2312"/>
          <w:color w:val="000000"/>
          <w:spacing w:val="8"/>
          <w:kern w:val="0"/>
          <w:sz w:val="32"/>
          <w:szCs w:val="32"/>
        </w:rPr>
        <w:t>举行</w:t>
      </w:r>
      <w:r>
        <w:rPr>
          <w:rFonts w:hint="eastAsia" w:ascii="仿宋_GB2312" w:hAnsi="仿宋_GB2312" w:eastAsia="仿宋_GB2312" w:cs="仿宋_GB2312"/>
          <w:color w:val="000000"/>
          <w:spacing w:val="8"/>
          <w:kern w:val="0"/>
          <w:sz w:val="32"/>
          <w:szCs w:val="32"/>
          <w:lang w:eastAsia="zh-CN"/>
        </w:rPr>
        <w:t>，</w:t>
      </w:r>
      <w:r>
        <w:rPr>
          <w:rFonts w:hint="eastAsia" w:ascii="仿宋_GB2312" w:hAnsi="仿宋_GB2312" w:eastAsia="仿宋_GB2312" w:cs="仿宋_GB2312"/>
          <w:color w:val="000000"/>
          <w:sz w:val="32"/>
          <w:szCs w:val="32"/>
        </w:rPr>
        <w:t>以线上和线下参与的方式举办</w:t>
      </w:r>
      <w:r>
        <w:rPr>
          <w:rFonts w:hint="eastAsia" w:ascii="仿宋_GB2312" w:hAnsi="仿宋_GB2312" w:eastAsia="仿宋_GB2312" w:cs="仿宋_GB2312"/>
          <w:color w:val="000000"/>
          <w:sz w:val="32"/>
          <w:szCs w:val="32"/>
          <w:lang w:eastAsia="zh-CN"/>
        </w:rPr>
        <w:t>。拟</w:t>
      </w:r>
      <w:r>
        <w:rPr>
          <w:rFonts w:hint="eastAsia" w:ascii="仿宋_GB2312" w:hAnsi="仿宋_GB2312" w:eastAsia="仿宋_GB2312" w:cs="仿宋_GB2312"/>
          <w:color w:val="000000"/>
          <w:spacing w:val="8"/>
          <w:kern w:val="0"/>
          <w:sz w:val="32"/>
          <w:szCs w:val="32"/>
        </w:rPr>
        <w:t>邀请</w:t>
      </w:r>
      <w:r>
        <w:rPr>
          <w:rFonts w:hint="eastAsia" w:ascii="仿宋_GB2312" w:hAnsi="仿宋_GB2312" w:eastAsia="仿宋_GB2312" w:cs="仿宋_GB2312"/>
          <w:color w:val="000000"/>
          <w:spacing w:val="8"/>
          <w:kern w:val="0"/>
          <w:sz w:val="32"/>
          <w:szCs w:val="32"/>
          <w:lang w:eastAsia="zh-CN"/>
        </w:rPr>
        <w:t>福建省居民</w:t>
      </w:r>
      <w:r>
        <w:rPr>
          <w:rFonts w:hint="eastAsia" w:ascii="仿宋_GB2312" w:hAnsi="仿宋_GB2312" w:eastAsia="仿宋_GB2312" w:cs="仿宋_GB2312"/>
          <w:color w:val="000000"/>
          <w:spacing w:val="8"/>
          <w:kern w:val="0"/>
          <w:sz w:val="32"/>
          <w:szCs w:val="32"/>
        </w:rPr>
        <w:t>营养健康指导委员会</w:t>
      </w:r>
      <w:r>
        <w:rPr>
          <w:rFonts w:hint="eastAsia" w:ascii="仿宋_GB2312" w:hAnsi="仿宋_GB2312" w:eastAsia="仿宋_GB2312" w:cs="仿宋_GB2312"/>
          <w:color w:val="000000"/>
          <w:spacing w:val="8"/>
          <w:kern w:val="0"/>
          <w:sz w:val="32"/>
          <w:szCs w:val="32"/>
          <w:lang w:eastAsia="zh-CN"/>
        </w:rPr>
        <w:t>成员单位</w:t>
      </w:r>
      <w:r>
        <w:rPr>
          <w:rFonts w:hint="eastAsia" w:ascii="仿宋_GB2312" w:hAnsi="仿宋_GB2312" w:eastAsia="仿宋_GB2312" w:cs="仿宋_GB2312"/>
          <w:color w:val="000000"/>
          <w:spacing w:val="8"/>
          <w:kern w:val="0"/>
          <w:sz w:val="32"/>
          <w:szCs w:val="32"/>
        </w:rPr>
        <w:t>相关负责同志，以及</w:t>
      </w:r>
      <w:r>
        <w:rPr>
          <w:rFonts w:hint="eastAsia" w:ascii="仿宋_GB2312" w:hAnsi="仿宋_GB2312" w:eastAsia="仿宋_GB2312" w:cs="仿宋_GB2312"/>
          <w:color w:val="000000"/>
          <w:spacing w:val="8"/>
          <w:kern w:val="0"/>
          <w:sz w:val="32"/>
          <w:szCs w:val="32"/>
          <w:lang w:eastAsia="zh-CN"/>
        </w:rPr>
        <w:t>行业学会</w:t>
      </w:r>
      <w:r>
        <w:rPr>
          <w:rFonts w:hint="eastAsia" w:ascii="仿宋_GB2312" w:hAnsi="仿宋_GB2312" w:eastAsia="仿宋_GB2312" w:cs="仿宋_GB2312"/>
          <w:color w:val="000000"/>
          <w:spacing w:val="8"/>
          <w:kern w:val="0"/>
          <w:sz w:val="32"/>
          <w:szCs w:val="32"/>
          <w:lang w:val="en-US" w:eastAsia="zh-CN"/>
        </w:rPr>
        <w:t>/</w:t>
      </w:r>
      <w:r>
        <w:rPr>
          <w:rFonts w:hint="eastAsia" w:ascii="仿宋_GB2312" w:hAnsi="仿宋_GB2312" w:eastAsia="仿宋_GB2312" w:cs="仿宋_GB2312"/>
          <w:color w:val="000000"/>
          <w:spacing w:val="8"/>
          <w:kern w:val="0"/>
          <w:sz w:val="32"/>
          <w:szCs w:val="32"/>
          <w:lang w:eastAsia="zh-CN"/>
        </w:rPr>
        <w:t>协会</w:t>
      </w:r>
      <w:r>
        <w:rPr>
          <w:rFonts w:hint="eastAsia" w:ascii="仿宋_GB2312" w:hAnsi="仿宋_GB2312" w:eastAsia="仿宋_GB2312" w:cs="仿宋_GB2312"/>
          <w:color w:val="000000"/>
          <w:spacing w:val="8"/>
          <w:kern w:val="0"/>
          <w:sz w:val="32"/>
          <w:szCs w:val="32"/>
        </w:rPr>
        <w:t>、行业企业、新闻媒体等各界代表出席</w:t>
      </w:r>
      <w:r>
        <w:rPr>
          <w:rFonts w:hint="eastAsia" w:ascii="仿宋_GB2312" w:hAnsi="仿宋_GB2312" w:eastAsia="仿宋_GB2312" w:cs="仿宋_GB2312"/>
          <w:color w:val="000000"/>
          <w:sz w:val="32"/>
          <w:szCs w:val="32"/>
        </w:rPr>
        <w:t>线下现场活动，活动现场以多平台向</w:t>
      </w:r>
      <w:r>
        <w:rPr>
          <w:rFonts w:hint="eastAsia" w:ascii="仿宋_GB2312" w:hAnsi="仿宋_GB2312" w:eastAsia="仿宋_GB2312" w:cs="仿宋_GB2312"/>
          <w:color w:val="000000"/>
          <w:sz w:val="32"/>
          <w:szCs w:val="32"/>
          <w:lang w:eastAsia="zh-CN"/>
        </w:rPr>
        <w:t>社会</w:t>
      </w:r>
      <w:r>
        <w:rPr>
          <w:rFonts w:hint="eastAsia" w:ascii="仿宋_GB2312" w:hAnsi="仿宋_GB2312" w:eastAsia="仿宋_GB2312" w:cs="仿宋_GB2312"/>
          <w:color w:val="000000"/>
          <w:sz w:val="32"/>
          <w:szCs w:val="32"/>
        </w:rPr>
        <w:t>公众直播</w:t>
      </w:r>
      <w:r>
        <w:rPr>
          <w:rFonts w:hint="eastAsia" w:ascii="仿宋_GB2312" w:hAnsi="仿宋_GB2312" w:eastAsia="仿宋_GB2312" w:cs="仿宋_GB2312"/>
          <w:color w:val="000000"/>
          <w:sz w:val="32"/>
          <w:szCs w:val="32"/>
          <w:lang w:eastAsia="zh-CN"/>
        </w:rPr>
        <w:t>。</w:t>
      </w:r>
    </w:p>
    <w:p>
      <w:pPr>
        <w:widowControl/>
        <w:shd w:val="clear" w:color="auto" w:fill="FFFFFF"/>
        <w:ind w:left="120" w:right="120" w:firstLine="672" w:firstLineChars="200"/>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kern w:val="0"/>
          <w:sz w:val="32"/>
          <w:szCs w:val="32"/>
        </w:rPr>
        <w:t>启动仪式上将解读2022年全民营养周和“5·20”中国学生营养日传播主题</w:t>
      </w:r>
      <w:r>
        <w:rPr>
          <w:rFonts w:hint="eastAsia" w:ascii="仿宋_GB2312" w:hAnsi="仿宋_GB2312" w:eastAsia="仿宋_GB2312" w:cs="仿宋_GB2312"/>
          <w:color w:val="000000"/>
          <w:spacing w:val="8"/>
          <w:kern w:val="0"/>
          <w:sz w:val="32"/>
          <w:szCs w:val="32"/>
          <w:lang w:eastAsia="zh-CN"/>
        </w:rPr>
        <w:t>；介绍</w:t>
      </w:r>
      <w:r>
        <w:rPr>
          <w:rFonts w:hint="eastAsia" w:ascii="仿宋_GB2312" w:hAnsi="仿宋_GB2312" w:eastAsia="仿宋_GB2312" w:cs="仿宋_GB2312"/>
          <w:color w:val="000000"/>
          <w:sz w:val="32"/>
          <w:szCs w:val="32"/>
        </w:rPr>
        <w:t>《中国居民膳食指南（2022）》、《会烹会选 会看标签》</w:t>
      </w:r>
      <w:r>
        <w:rPr>
          <w:rFonts w:hint="eastAsia" w:ascii="仿宋_GB2312" w:hAnsi="仿宋_GB2312" w:eastAsia="仿宋_GB2312" w:cs="仿宋_GB2312"/>
          <w:color w:val="000000"/>
          <w:sz w:val="32"/>
          <w:szCs w:val="32"/>
          <w:lang w:eastAsia="zh-CN"/>
        </w:rPr>
        <w:t>以及福建省</w:t>
      </w:r>
      <w:r>
        <w:rPr>
          <w:rFonts w:hint="eastAsia" w:ascii="仿宋_GB2312" w:hAnsi="仿宋_GB2312" w:eastAsia="仿宋_GB2312" w:cs="仿宋_GB2312"/>
          <w:color w:val="000000"/>
          <w:sz w:val="32"/>
          <w:szCs w:val="32"/>
        </w:rPr>
        <w:t>营养健康食堂（餐厅）</w:t>
      </w:r>
      <w:r>
        <w:rPr>
          <w:rFonts w:hint="eastAsia" w:ascii="仿宋_GB2312" w:hAnsi="仿宋_GB2312" w:eastAsia="仿宋_GB2312" w:cs="仿宋_GB2312"/>
          <w:color w:val="000000"/>
          <w:sz w:val="32"/>
          <w:szCs w:val="32"/>
          <w:lang w:eastAsia="zh-CN"/>
        </w:rPr>
        <w:t>建设试点情况；</w:t>
      </w:r>
      <w:r>
        <w:rPr>
          <w:rFonts w:hint="eastAsia" w:ascii="仿宋_GB2312" w:hAnsi="仿宋_GB2312" w:eastAsia="仿宋_GB2312" w:cs="仿宋_GB2312"/>
          <w:color w:val="000000"/>
          <w:sz w:val="32"/>
          <w:szCs w:val="32"/>
        </w:rPr>
        <w:t>设立“会烹会选 会看标签”专号、专栏，发布主题相关宣传材料</w:t>
      </w:r>
      <w:r>
        <w:rPr>
          <w:rFonts w:hint="eastAsia" w:ascii="仿宋_GB2312" w:hAnsi="仿宋_GB2312" w:eastAsia="仿宋_GB2312" w:cs="仿宋_GB2312"/>
          <w:color w:val="000000"/>
          <w:spacing w:val="8"/>
          <w:kern w:val="0"/>
          <w:sz w:val="32"/>
          <w:szCs w:val="32"/>
        </w:rPr>
        <w:t>，并结合传播主题推出系列线上线下活动，鼓励社会各界参与。</w:t>
      </w:r>
    </w:p>
    <w:p>
      <w:pPr>
        <w:widowControl/>
        <w:shd w:val="clear" w:color="auto" w:fill="FFFFFF"/>
        <w:ind w:left="0" w:right="120"/>
        <w:rPr>
          <w:rFonts w:hint="eastAsia" w:ascii="楷体_GB2312" w:hAnsi="楷体_GB2312" w:eastAsia="楷体_GB2312" w:cs="楷体_GB2312"/>
          <w:b w:val="0"/>
          <w:bCs w:val="0"/>
          <w:color w:val="000000"/>
          <w:spacing w:val="8"/>
          <w:kern w:val="0"/>
          <w:sz w:val="32"/>
          <w:szCs w:val="32"/>
        </w:rPr>
      </w:pPr>
      <w:r>
        <w:rPr>
          <w:rFonts w:hint="eastAsia" w:ascii="楷体_GB2312" w:hAnsi="楷体_GB2312" w:eastAsia="楷体_GB2312" w:cs="楷体_GB2312"/>
          <w:b w:val="0"/>
          <w:bCs w:val="0"/>
          <w:color w:val="000000"/>
          <w:spacing w:val="8"/>
          <w:kern w:val="0"/>
          <w:sz w:val="32"/>
          <w:szCs w:val="32"/>
          <w:lang w:val="en-US" w:eastAsia="zh-CN"/>
        </w:rPr>
        <w:t xml:space="preserve">   </w:t>
      </w:r>
      <w:r>
        <w:rPr>
          <w:rFonts w:hint="eastAsia" w:ascii="楷体_GB2312" w:hAnsi="楷体_GB2312" w:eastAsia="楷体_GB2312" w:cs="楷体_GB2312"/>
          <w:b w:val="0"/>
          <w:bCs w:val="0"/>
          <w:color w:val="000000"/>
          <w:spacing w:val="8"/>
          <w:kern w:val="0"/>
          <w:sz w:val="32"/>
          <w:szCs w:val="32"/>
        </w:rPr>
        <w:t>（二）地方层面</w:t>
      </w:r>
    </w:p>
    <w:p>
      <w:pPr>
        <w:widowControl/>
        <w:shd w:val="clear" w:color="auto" w:fill="FFFFFF"/>
        <w:ind w:left="120" w:right="120" w:firstLine="672" w:firstLineChars="200"/>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kern w:val="0"/>
          <w:sz w:val="32"/>
          <w:szCs w:val="32"/>
          <w:lang w:val="en-US" w:eastAsia="zh-CN"/>
        </w:rPr>
        <w:t>1.</w:t>
      </w:r>
      <w:r>
        <w:rPr>
          <w:rFonts w:hint="eastAsia" w:ascii="仿宋_GB2312" w:hAnsi="仿宋_GB2312" w:eastAsia="仿宋_GB2312" w:cs="仿宋_GB2312"/>
          <w:color w:val="000000"/>
          <w:spacing w:val="8"/>
          <w:kern w:val="0"/>
          <w:sz w:val="32"/>
          <w:szCs w:val="32"/>
        </w:rPr>
        <w:t>各地参照省级层面活动方案，围绕本次全民营养周和</w:t>
      </w:r>
      <w:r>
        <w:rPr>
          <w:rFonts w:hint="eastAsia" w:ascii="仿宋_GB2312" w:hAnsi="仿宋_GB2312" w:eastAsia="仿宋_GB2312" w:cs="仿宋_GB2312"/>
          <w:color w:val="000000"/>
          <w:spacing w:val="8"/>
          <w:kern w:val="0"/>
          <w:sz w:val="32"/>
          <w:szCs w:val="32"/>
        </w:rPr>
        <w:tab/>
      </w:r>
      <w:r>
        <w:rPr>
          <w:rFonts w:hint="eastAsia" w:ascii="仿宋_GB2312" w:hAnsi="仿宋_GB2312" w:eastAsia="仿宋_GB2312" w:cs="仿宋_GB2312"/>
          <w:color w:val="000000"/>
          <w:spacing w:val="8"/>
          <w:kern w:val="0"/>
          <w:sz w:val="32"/>
          <w:szCs w:val="32"/>
        </w:rPr>
        <w:t>“5·20”中国学生营养日传播主题，结合居民营养健康知识知晓率调查结果，根据新冠肺炎疫情防控形势，自定形式，开展丰富多彩，形式多样、群众互动性强的线上线下传播活动，形成重大活动统一引领，各地活动各显特色，社会各界积极参与，多种媒体广泛传播、科普活动遍及城乡的良好氛围。</w:t>
      </w:r>
    </w:p>
    <w:p>
      <w:pPr>
        <w:widowControl/>
        <w:shd w:val="clear" w:color="auto" w:fill="FFFFFF"/>
        <w:ind w:left="120" w:right="120" w:firstLine="672" w:firstLineChars="200"/>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kern w:val="0"/>
          <w:sz w:val="32"/>
          <w:szCs w:val="32"/>
          <w:lang w:val="en-US" w:eastAsia="zh-CN"/>
        </w:rPr>
        <w:t>2.</w:t>
      </w:r>
      <w:r>
        <w:rPr>
          <w:rFonts w:hint="eastAsia" w:ascii="仿宋_GB2312" w:hAnsi="仿宋_GB2312" w:eastAsia="仿宋_GB2312" w:cs="仿宋_GB2312"/>
          <w:color w:val="000000"/>
          <w:spacing w:val="8"/>
          <w:kern w:val="0"/>
          <w:sz w:val="32"/>
          <w:szCs w:val="32"/>
        </w:rPr>
        <w:t>各地可结合实际，围绕2022年全民营养周和“5·20”中国学生营养日主题，自行举办地方启动仪式，与主场仪式形成呼应，邀请当地卫健委和国民营养健康指导委员会其他成员单位相关负责同志、专家学者、学校代表和协（学）会代表出席。启动仪式中，亦可根据疫情防控形势，适当动员组织专家咨询、讲座、演讲等，联合主流媒体和新媒体传播，互动互助，加大传播力度和覆盖面。</w:t>
      </w:r>
    </w:p>
    <w:p>
      <w:pPr>
        <w:widowControl/>
        <w:shd w:val="clear" w:color="auto" w:fill="FFFFFF"/>
        <w:ind w:left="120" w:right="120" w:firstLine="672" w:firstLineChars="200"/>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kern w:val="0"/>
          <w:sz w:val="32"/>
          <w:szCs w:val="32"/>
          <w:lang w:val="en-US" w:eastAsia="zh-CN"/>
        </w:rPr>
        <w:t>3.</w:t>
      </w:r>
      <w:r>
        <w:rPr>
          <w:rFonts w:hint="eastAsia" w:ascii="仿宋_GB2312" w:hAnsi="仿宋_GB2312" w:eastAsia="仿宋_GB2312" w:cs="仿宋_GB2312"/>
          <w:color w:val="000000"/>
          <w:spacing w:val="8"/>
          <w:kern w:val="0"/>
          <w:sz w:val="32"/>
          <w:szCs w:val="32"/>
        </w:rPr>
        <w:t>基于疫情防控需要，加大线上传播活动的策划力度，组织动员广大营养健康科技工作者，营养师发挥主力军作用，广泛传播中国居民膳食指南核心思想，踊跃参与科普文章、视频、海报、实践指导工具等内容产出，利用当地主流媒体和各单位官方网站、微博、微信公众号等平台，以及社区居民、学校家长微信群发布等多种形式，宣传全民营养周、“5·20”中国学生营养日主题相关内容，提升社会影响力和全民参与度。</w:t>
      </w:r>
    </w:p>
    <w:p>
      <w:pPr>
        <w:widowControl/>
        <w:shd w:val="clear" w:color="auto" w:fill="FFFFFF"/>
        <w:ind w:left="120" w:right="120" w:firstLine="672" w:firstLineChars="200"/>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kern w:val="0"/>
          <w:sz w:val="32"/>
          <w:szCs w:val="32"/>
          <w:lang w:val="en-US" w:eastAsia="zh-CN"/>
        </w:rPr>
        <w:t>4.</w:t>
      </w:r>
      <w:r>
        <w:rPr>
          <w:rFonts w:hint="eastAsia" w:ascii="仿宋_GB2312" w:hAnsi="仿宋_GB2312" w:eastAsia="仿宋_GB2312" w:cs="仿宋_GB2312"/>
          <w:color w:val="000000"/>
          <w:spacing w:val="8"/>
          <w:kern w:val="0"/>
          <w:sz w:val="32"/>
          <w:szCs w:val="32"/>
        </w:rPr>
        <w:t>线下传播活动建议联动各级营养学会</w:t>
      </w:r>
      <w:r>
        <w:rPr>
          <w:rFonts w:hint="eastAsia" w:ascii="仿宋_GB2312" w:hAnsi="仿宋_GB2312" w:eastAsia="仿宋_GB2312" w:cs="仿宋_GB2312"/>
          <w:color w:val="000000"/>
          <w:spacing w:val="8"/>
          <w:kern w:val="0"/>
          <w:sz w:val="32"/>
          <w:szCs w:val="32"/>
          <w:lang w:eastAsia="zh-CN"/>
        </w:rPr>
        <w:t>、</w:t>
      </w:r>
      <w:r>
        <w:rPr>
          <w:rFonts w:hint="eastAsia" w:ascii="仿宋_GB2312" w:hAnsi="仿宋_GB2312" w:eastAsia="仿宋_GB2312" w:cs="仿宋_GB2312"/>
          <w:color w:val="000000"/>
          <w:spacing w:val="8"/>
          <w:kern w:val="0"/>
          <w:sz w:val="32"/>
          <w:szCs w:val="32"/>
        </w:rPr>
        <w:t>营养师协会及其他有关机构，根据疫情防控形势，通过电子屏幕展示，海报张贴、宣传折页自取等宣传环境的创建，落实好进社区、进乡村、进学校、进超市、进餐厅“五进”活动，促进宣传活动落地到基层。</w:t>
      </w:r>
    </w:p>
    <w:p>
      <w:pPr>
        <w:widowControl/>
        <w:shd w:val="clear" w:color="auto" w:fill="FFFFFF"/>
        <w:ind w:left="120" w:right="120" w:firstLine="672" w:firstLineChars="200"/>
        <w:rPr>
          <w:rFonts w:hint="eastAsia" w:ascii="仿宋_GB2312" w:hAnsi="仿宋_GB2312" w:eastAsia="仿宋_GB2312" w:cs="仿宋_GB2312"/>
          <w:color w:val="000000"/>
          <w:spacing w:val="8"/>
          <w:kern w:val="0"/>
          <w:sz w:val="32"/>
          <w:szCs w:val="32"/>
        </w:rPr>
      </w:pPr>
    </w:p>
    <w:p>
      <w:pPr>
        <w:widowControl/>
        <w:shd w:val="clear" w:color="auto" w:fill="FFFFFF"/>
        <w:ind w:left="120" w:right="120" w:firstLine="672" w:firstLineChars="200"/>
        <w:rPr>
          <w:rFonts w:hint="eastAsia" w:ascii="仿宋_GB2312" w:hAnsi="仿宋_GB2312" w:eastAsia="仿宋_GB2312" w:cs="仿宋_GB2312"/>
          <w:color w:val="000000"/>
          <w:spacing w:val="8"/>
          <w:kern w:val="0"/>
          <w:sz w:val="32"/>
          <w:szCs w:val="32"/>
          <w:lang w:eastAsia="zh-CN"/>
        </w:rPr>
      </w:pPr>
      <w:r>
        <w:rPr>
          <w:rFonts w:hint="eastAsia" w:ascii="仿宋_GB2312" w:hAnsi="仿宋_GB2312" w:eastAsia="仿宋_GB2312" w:cs="仿宋_GB2312"/>
          <w:color w:val="000000"/>
          <w:spacing w:val="8"/>
          <w:kern w:val="0"/>
          <w:sz w:val="32"/>
          <w:szCs w:val="32"/>
          <w:lang w:eastAsia="zh-CN"/>
        </w:rPr>
        <w:t>附表：</w:t>
      </w:r>
      <w:r>
        <w:rPr>
          <w:rFonts w:hint="eastAsia" w:ascii="仿宋_GB2312" w:hAnsi="仿宋_GB2312" w:eastAsia="仿宋_GB2312" w:cs="仿宋_GB2312"/>
          <w:color w:val="000000"/>
          <w:spacing w:val="8"/>
          <w:kern w:val="0"/>
          <w:sz w:val="32"/>
          <w:szCs w:val="32"/>
        </w:rPr>
        <w:t>2022全民营养周活动总结表</w:t>
      </w:r>
    </w:p>
    <w:p>
      <w:pPr>
        <w:widowControl/>
        <w:shd w:val="clear" w:color="auto" w:fill="FFFFFF"/>
        <w:ind w:left="120" w:right="120" w:firstLine="592" w:firstLineChars="200"/>
        <w:rPr>
          <w:rFonts w:ascii="仿宋" w:hAnsi="仿宋" w:eastAsia="仿宋" w:cs="宋体"/>
          <w:color w:val="000000"/>
          <w:spacing w:val="8"/>
          <w:kern w:val="0"/>
          <w:sz w:val="28"/>
          <w:szCs w:val="28"/>
        </w:rPr>
      </w:pPr>
    </w:p>
    <w:p>
      <w:pPr>
        <w:widowControl/>
        <w:shd w:val="clear" w:color="auto" w:fill="FFFFFF"/>
        <w:ind w:left="120" w:right="120" w:firstLine="592" w:firstLineChars="200"/>
        <w:rPr>
          <w:rFonts w:ascii="仿宋" w:hAnsi="仿宋" w:eastAsia="仿宋" w:cs="宋体"/>
          <w:color w:val="000000"/>
          <w:spacing w:val="8"/>
          <w:kern w:val="0"/>
          <w:sz w:val="28"/>
          <w:szCs w:val="28"/>
        </w:rPr>
      </w:pPr>
    </w:p>
    <w:p>
      <w:pPr>
        <w:widowControl/>
        <w:shd w:val="clear" w:color="auto" w:fill="FFFFFF"/>
        <w:ind w:left="120" w:right="120" w:firstLine="592" w:firstLineChars="200"/>
        <w:rPr>
          <w:rFonts w:ascii="仿宋" w:hAnsi="仿宋" w:eastAsia="仿宋" w:cs="宋体"/>
          <w:color w:val="000000"/>
          <w:spacing w:val="8"/>
          <w:kern w:val="0"/>
          <w:sz w:val="28"/>
          <w:szCs w:val="28"/>
        </w:rPr>
      </w:pPr>
    </w:p>
    <w:p>
      <w:pPr>
        <w:widowControl/>
        <w:shd w:val="clear" w:color="auto" w:fill="FFFFFF"/>
        <w:ind w:left="120" w:right="120" w:firstLine="592" w:firstLineChars="200"/>
        <w:rPr>
          <w:rFonts w:ascii="仿宋" w:hAnsi="仿宋" w:eastAsia="仿宋" w:cs="宋体"/>
          <w:color w:val="000000"/>
          <w:spacing w:val="8"/>
          <w:kern w:val="0"/>
          <w:sz w:val="28"/>
          <w:szCs w:val="28"/>
        </w:rPr>
      </w:pPr>
    </w:p>
    <w:p>
      <w:pPr>
        <w:widowControl/>
        <w:shd w:val="clear" w:color="auto" w:fill="FFFFFF"/>
        <w:ind w:left="120" w:right="120" w:firstLine="592" w:firstLineChars="200"/>
        <w:rPr>
          <w:rFonts w:ascii="仿宋" w:hAnsi="仿宋" w:eastAsia="仿宋" w:cs="宋体"/>
          <w:color w:val="000000"/>
          <w:spacing w:val="8"/>
          <w:kern w:val="0"/>
          <w:sz w:val="28"/>
          <w:szCs w:val="28"/>
        </w:rPr>
      </w:pPr>
    </w:p>
    <w:p>
      <w:pPr>
        <w:widowControl/>
        <w:shd w:val="clear" w:color="auto" w:fill="FFFFFF"/>
        <w:ind w:left="120" w:right="120" w:firstLine="592" w:firstLineChars="200"/>
        <w:rPr>
          <w:rFonts w:ascii="仿宋" w:hAnsi="仿宋" w:eastAsia="仿宋" w:cs="宋体"/>
          <w:color w:val="000000"/>
          <w:spacing w:val="8"/>
          <w:kern w:val="0"/>
          <w:sz w:val="28"/>
          <w:szCs w:val="28"/>
        </w:rPr>
      </w:pPr>
    </w:p>
    <w:p>
      <w:pPr>
        <w:rPr>
          <w:rFonts w:hint="eastAsia" w:ascii="黑体" w:hAnsi="黑体" w:eastAsia="黑体" w:cs="黑体"/>
          <w:color w:val="000000"/>
          <w:spacing w:val="8"/>
          <w:kern w:val="0"/>
          <w:sz w:val="32"/>
          <w:szCs w:val="32"/>
          <w:lang w:val="en" w:eastAsia="zh-CN"/>
        </w:rPr>
      </w:pPr>
      <w:r>
        <w:rPr>
          <w:rFonts w:hint="eastAsia" w:ascii="黑体" w:hAnsi="黑体" w:eastAsia="黑体" w:cs="黑体"/>
          <w:color w:val="000000"/>
          <w:spacing w:val="8"/>
          <w:kern w:val="0"/>
          <w:sz w:val="32"/>
          <w:szCs w:val="32"/>
          <w:lang w:val="en" w:eastAsia="zh-CN"/>
        </w:rPr>
        <w:br w:type="page"/>
      </w:r>
    </w:p>
    <w:p>
      <w:pPr>
        <w:widowControl/>
        <w:shd w:val="clear" w:color="auto" w:fill="FFFFFF"/>
        <w:snapToGrid w:val="0"/>
        <w:spacing w:line="520" w:lineRule="exact"/>
        <w:ind w:left="0" w:right="0" w:firstLine="0" w:firstLineChars="0"/>
        <w:rPr>
          <w:rFonts w:hint="eastAsia" w:ascii="黑体" w:hAnsi="黑体" w:eastAsia="黑体" w:cs="黑体"/>
          <w:color w:val="000000"/>
          <w:spacing w:val="8"/>
          <w:kern w:val="0"/>
          <w:sz w:val="32"/>
          <w:szCs w:val="32"/>
          <w:lang w:val="en" w:eastAsia="zh-CN"/>
        </w:rPr>
      </w:pPr>
      <w:r>
        <w:rPr>
          <w:rFonts w:hint="eastAsia" w:ascii="黑体" w:hAnsi="黑体" w:eastAsia="黑体" w:cs="黑体"/>
          <w:color w:val="000000"/>
          <w:spacing w:val="8"/>
          <w:kern w:val="0"/>
          <w:sz w:val="32"/>
          <w:szCs w:val="32"/>
          <w:lang w:val="en" w:eastAsia="zh-CN"/>
        </w:rPr>
        <w:t>附表</w:t>
      </w:r>
    </w:p>
    <w:tbl>
      <w:tblPr>
        <w:tblStyle w:val="5"/>
        <w:tblW w:w="8791" w:type="dxa"/>
        <w:tblInd w:w="0" w:type="dxa"/>
        <w:tblLayout w:type="fixed"/>
        <w:tblCellMar>
          <w:top w:w="0" w:type="dxa"/>
          <w:left w:w="108" w:type="dxa"/>
          <w:bottom w:w="0" w:type="dxa"/>
          <w:right w:w="108" w:type="dxa"/>
        </w:tblCellMar>
      </w:tblPr>
      <w:tblGrid>
        <w:gridCol w:w="2027"/>
        <w:gridCol w:w="503"/>
        <w:gridCol w:w="1118"/>
        <w:gridCol w:w="1271"/>
        <w:gridCol w:w="3872"/>
      </w:tblGrid>
      <w:tr>
        <w:tblPrEx>
          <w:tblCellMar>
            <w:top w:w="0" w:type="dxa"/>
            <w:left w:w="108" w:type="dxa"/>
            <w:bottom w:w="0" w:type="dxa"/>
            <w:right w:w="108" w:type="dxa"/>
          </w:tblCellMar>
        </w:tblPrEx>
        <w:trPr>
          <w:trHeight w:val="384" w:hRule="atLeast"/>
        </w:trPr>
        <w:tc>
          <w:tcPr>
            <w:tcW w:w="8791" w:type="dxa"/>
            <w:gridSpan w:val="5"/>
            <w:tcBorders>
              <w:top w:val="nil"/>
              <w:left w:val="nil"/>
              <w:bottom w:val="nil"/>
              <w:right w:val="nil"/>
            </w:tcBorders>
            <w:noWrap w:val="0"/>
            <w:vAlign w:val="bottom"/>
          </w:tcPr>
          <w:p>
            <w:pPr>
              <w:widowControl/>
              <w:snapToGrid w:val="0"/>
              <w:spacing w:line="440" w:lineRule="exact"/>
              <w:jc w:val="center"/>
              <w:rPr>
                <w:rFonts w:hint="eastAsia" w:ascii="仿宋_GB2312" w:hAnsi="仿宋_GB2312" w:eastAsia="仿宋_GB2312" w:cs="仿宋_GB2312"/>
                <w:b/>
                <w:bCs/>
                <w:color w:val="000000"/>
                <w:kern w:val="0"/>
                <w:sz w:val="36"/>
                <w:szCs w:val="36"/>
              </w:rPr>
            </w:pPr>
            <w:r>
              <w:rPr>
                <w:rFonts w:hint="eastAsia" w:ascii="方正小标宋简体" w:hAnsi="方正小标宋简体" w:eastAsia="方正小标宋简体" w:cs="方正小标宋简体"/>
                <w:b w:val="0"/>
                <w:bCs w:val="0"/>
                <w:color w:val="000000"/>
                <w:kern w:val="0"/>
                <w:sz w:val="36"/>
                <w:szCs w:val="36"/>
              </w:rPr>
              <w:t>2022全民营养周活动总结表</w:t>
            </w:r>
          </w:p>
        </w:tc>
      </w:tr>
      <w:tr>
        <w:tblPrEx>
          <w:tblCellMar>
            <w:top w:w="0" w:type="dxa"/>
            <w:left w:w="108" w:type="dxa"/>
            <w:bottom w:w="0" w:type="dxa"/>
            <w:right w:w="108" w:type="dxa"/>
          </w:tblCellMar>
        </w:tblPrEx>
        <w:trPr>
          <w:trHeight w:val="300"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上报单位</w:t>
            </w:r>
          </w:p>
        </w:tc>
        <w:tc>
          <w:tcPr>
            <w:tcW w:w="6764" w:type="dxa"/>
            <w:gridSpan w:val="4"/>
            <w:tcBorders>
              <w:top w:val="single" w:color="auto" w:sz="4" w:space="0"/>
              <w:left w:val="nil"/>
              <w:bottom w:val="single" w:color="auto" w:sz="4" w:space="0"/>
              <w:right w:val="single" w:color="auto" w:sz="4" w:space="0"/>
            </w:tcBorders>
            <w:noWrap w:val="0"/>
            <w:vAlign w:val="top"/>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300" w:hRule="atLeast"/>
        </w:trPr>
        <w:tc>
          <w:tcPr>
            <w:tcW w:w="20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项目负责人</w:t>
            </w:r>
          </w:p>
        </w:tc>
        <w:tc>
          <w:tcPr>
            <w:tcW w:w="1621" w:type="dxa"/>
            <w:gridSpan w:val="2"/>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27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联系人</w:t>
            </w:r>
          </w:p>
        </w:tc>
        <w:tc>
          <w:tcPr>
            <w:tcW w:w="3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300" w:hRule="atLeast"/>
        </w:trPr>
        <w:tc>
          <w:tcPr>
            <w:tcW w:w="20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地  址</w:t>
            </w:r>
          </w:p>
        </w:tc>
        <w:tc>
          <w:tcPr>
            <w:tcW w:w="6764" w:type="dxa"/>
            <w:gridSpan w:val="4"/>
            <w:tcBorders>
              <w:top w:val="single" w:color="auto" w:sz="4" w:space="0"/>
              <w:left w:val="nil"/>
              <w:bottom w:val="single" w:color="auto" w:sz="4" w:space="0"/>
              <w:right w:val="single" w:color="auto" w:sz="4" w:space="0"/>
            </w:tcBorders>
            <w:noWrap w:val="0"/>
            <w:vAlign w:val="top"/>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300" w:hRule="atLeast"/>
        </w:trPr>
        <w:tc>
          <w:tcPr>
            <w:tcW w:w="20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联系电话</w:t>
            </w:r>
          </w:p>
        </w:tc>
        <w:tc>
          <w:tcPr>
            <w:tcW w:w="1621" w:type="dxa"/>
            <w:gridSpan w:val="2"/>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27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手  机</w:t>
            </w:r>
          </w:p>
        </w:tc>
        <w:tc>
          <w:tcPr>
            <w:tcW w:w="3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300" w:hRule="atLeast"/>
        </w:trPr>
        <w:tc>
          <w:tcPr>
            <w:tcW w:w="20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电子邮箱</w:t>
            </w:r>
          </w:p>
        </w:tc>
        <w:tc>
          <w:tcPr>
            <w:tcW w:w="6764" w:type="dxa"/>
            <w:gridSpan w:val="4"/>
            <w:tcBorders>
              <w:top w:val="single" w:color="auto" w:sz="4" w:space="0"/>
              <w:left w:val="nil"/>
              <w:bottom w:val="single" w:color="auto" w:sz="4" w:space="0"/>
              <w:right w:val="single" w:color="auto" w:sz="4" w:space="0"/>
            </w:tcBorders>
            <w:noWrap w:val="0"/>
            <w:vAlign w:val="top"/>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300" w:hRule="atLeast"/>
        </w:trPr>
        <w:tc>
          <w:tcPr>
            <w:tcW w:w="20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举办启动仪式</w:t>
            </w:r>
          </w:p>
        </w:tc>
        <w:tc>
          <w:tcPr>
            <w:tcW w:w="6764"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             □否</w:t>
            </w:r>
          </w:p>
        </w:tc>
      </w:tr>
      <w:tr>
        <w:tblPrEx>
          <w:tblCellMar>
            <w:top w:w="0" w:type="dxa"/>
            <w:left w:w="108" w:type="dxa"/>
            <w:bottom w:w="0" w:type="dxa"/>
            <w:right w:w="108" w:type="dxa"/>
          </w:tblCellMar>
        </w:tblPrEx>
        <w:trPr>
          <w:trHeight w:val="300" w:hRule="atLeast"/>
        </w:trPr>
        <w:tc>
          <w:tcPr>
            <w:tcW w:w="8791"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参与单位</w:t>
            </w:r>
          </w:p>
        </w:tc>
      </w:tr>
      <w:tr>
        <w:tblPrEx>
          <w:tblCellMar>
            <w:top w:w="0" w:type="dxa"/>
            <w:left w:w="108" w:type="dxa"/>
            <w:bottom w:w="0" w:type="dxa"/>
            <w:right w:w="108" w:type="dxa"/>
          </w:tblCellMar>
        </w:tblPrEx>
        <w:trPr>
          <w:trHeight w:val="300" w:hRule="atLeast"/>
        </w:trPr>
        <w:tc>
          <w:tcPr>
            <w:tcW w:w="20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类型</w:t>
            </w:r>
          </w:p>
        </w:tc>
        <w:tc>
          <w:tcPr>
            <w:tcW w:w="50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数量</w:t>
            </w:r>
          </w:p>
        </w:tc>
        <w:tc>
          <w:tcPr>
            <w:tcW w:w="626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单位名称</w:t>
            </w:r>
          </w:p>
        </w:tc>
      </w:tr>
      <w:tr>
        <w:tblPrEx>
          <w:tblCellMar>
            <w:top w:w="0" w:type="dxa"/>
            <w:left w:w="108" w:type="dxa"/>
            <w:bottom w:w="0" w:type="dxa"/>
            <w:right w:w="108" w:type="dxa"/>
          </w:tblCellMar>
        </w:tblPrEx>
        <w:trPr>
          <w:trHeight w:val="300" w:hRule="atLeast"/>
        </w:trPr>
        <w:tc>
          <w:tcPr>
            <w:tcW w:w="20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政府机构</w:t>
            </w:r>
          </w:p>
        </w:tc>
        <w:tc>
          <w:tcPr>
            <w:tcW w:w="50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238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300" w:hRule="atLeast"/>
        </w:trPr>
        <w:tc>
          <w:tcPr>
            <w:tcW w:w="20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5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238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300" w:hRule="atLeast"/>
        </w:trPr>
        <w:tc>
          <w:tcPr>
            <w:tcW w:w="20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学/协会</w:t>
            </w:r>
          </w:p>
        </w:tc>
        <w:tc>
          <w:tcPr>
            <w:tcW w:w="50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238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300" w:hRule="atLeast"/>
        </w:trPr>
        <w:tc>
          <w:tcPr>
            <w:tcW w:w="20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5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238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300" w:hRule="atLeast"/>
        </w:trPr>
        <w:tc>
          <w:tcPr>
            <w:tcW w:w="20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企业</w:t>
            </w:r>
          </w:p>
        </w:tc>
        <w:tc>
          <w:tcPr>
            <w:tcW w:w="50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238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300" w:hRule="atLeast"/>
        </w:trPr>
        <w:tc>
          <w:tcPr>
            <w:tcW w:w="20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5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238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300" w:hRule="atLeast"/>
        </w:trPr>
        <w:tc>
          <w:tcPr>
            <w:tcW w:w="20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疾控中心</w:t>
            </w:r>
          </w:p>
        </w:tc>
        <w:tc>
          <w:tcPr>
            <w:tcW w:w="50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238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300" w:hRule="atLeast"/>
        </w:trPr>
        <w:tc>
          <w:tcPr>
            <w:tcW w:w="20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5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238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300" w:hRule="atLeast"/>
        </w:trPr>
        <w:tc>
          <w:tcPr>
            <w:tcW w:w="20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5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238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300" w:hRule="atLeast"/>
        </w:trPr>
        <w:tc>
          <w:tcPr>
            <w:tcW w:w="20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医院</w:t>
            </w:r>
          </w:p>
        </w:tc>
        <w:tc>
          <w:tcPr>
            <w:tcW w:w="50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238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300" w:hRule="atLeast"/>
        </w:trPr>
        <w:tc>
          <w:tcPr>
            <w:tcW w:w="20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5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238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300" w:hRule="atLeast"/>
        </w:trPr>
        <w:tc>
          <w:tcPr>
            <w:tcW w:w="20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5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238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300" w:hRule="atLeast"/>
        </w:trPr>
        <w:tc>
          <w:tcPr>
            <w:tcW w:w="20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宣传方式</w:t>
            </w:r>
          </w:p>
        </w:tc>
        <w:tc>
          <w:tcPr>
            <w:tcW w:w="6764"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□进社区   □进校园   □进部队   □医院义诊</w:t>
            </w:r>
          </w:p>
        </w:tc>
      </w:tr>
      <w:tr>
        <w:tblPrEx>
          <w:tblCellMar>
            <w:top w:w="0" w:type="dxa"/>
            <w:left w:w="108" w:type="dxa"/>
            <w:bottom w:w="0" w:type="dxa"/>
            <w:right w:w="108" w:type="dxa"/>
          </w:tblCellMar>
        </w:tblPrEx>
        <w:trPr>
          <w:trHeight w:val="300" w:hRule="atLeast"/>
        </w:trPr>
        <w:tc>
          <w:tcPr>
            <w:tcW w:w="20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6764"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□讲座     □广播站   □健康跑   □演讲竞赛</w:t>
            </w:r>
          </w:p>
        </w:tc>
      </w:tr>
      <w:tr>
        <w:tblPrEx>
          <w:tblCellMar>
            <w:top w:w="0" w:type="dxa"/>
            <w:left w:w="108" w:type="dxa"/>
            <w:bottom w:w="0" w:type="dxa"/>
            <w:right w:w="108" w:type="dxa"/>
          </w:tblCellMar>
        </w:tblPrEx>
        <w:trPr>
          <w:trHeight w:val="300" w:hRule="atLeast"/>
        </w:trPr>
        <w:tc>
          <w:tcPr>
            <w:tcW w:w="20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6764"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□发放宣传材料        □展板、海报 </w:t>
            </w:r>
          </w:p>
        </w:tc>
      </w:tr>
      <w:tr>
        <w:tblPrEx>
          <w:tblCellMar>
            <w:top w:w="0" w:type="dxa"/>
            <w:left w:w="108" w:type="dxa"/>
            <w:bottom w:w="0" w:type="dxa"/>
            <w:right w:w="108" w:type="dxa"/>
          </w:tblCellMar>
        </w:tblPrEx>
        <w:trPr>
          <w:trHeight w:val="300" w:hRule="atLeast"/>
        </w:trPr>
        <w:tc>
          <w:tcPr>
            <w:tcW w:w="20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6764"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□其他（请注明）：报纸、微信公众号、演出、短片循环播放</w:t>
            </w:r>
          </w:p>
        </w:tc>
      </w:tr>
      <w:tr>
        <w:tblPrEx>
          <w:tblCellMar>
            <w:top w:w="0" w:type="dxa"/>
            <w:left w:w="108" w:type="dxa"/>
            <w:bottom w:w="0" w:type="dxa"/>
            <w:right w:w="108" w:type="dxa"/>
          </w:tblCellMar>
        </w:tblPrEx>
        <w:trPr>
          <w:trHeight w:val="300" w:hRule="atLeast"/>
        </w:trPr>
        <w:tc>
          <w:tcPr>
            <w:tcW w:w="8791"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活动次数</w:t>
            </w:r>
          </w:p>
        </w:tc>
      </w:tr>
      <w:tr>
        <w:tblPrEx>
          <w:tblCellMar>
            <w:top w:w="0" w:type="dxa"/>
            <w:left w:w="108" w:type="dxa"/>
            <w:bottom w:w="0" w:type="dxa"/>
            <w:right w:w="108" w:type="dxa"/>
          </w:tblCellMar>
        </w:tblPrEx>
        <w:trPr>
          <w:trHeight w:val="300" w:hRule="atLeast"/>
        </w:trPr>
        <w:tc>
          <w:tcPr>
            <w:tcW w:w="20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类型</w:t>
            </w:r>
          </w:p>
        </w:tc>
        <w:tc>
          <w:tcPr>
            <w:tcW w:w="289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场次数</w:t>
            </w:r>
          </w:p>
        </w:tc>
        <w:tc>
          <w:tcPr>
            <w:tcW w:w="3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受众人次数</w:t>
            </w:r>
          </w:p>
        </w:tc>
      </w:tr>
      <w:tr>
        <w:tblPrEx>
          <w:tblCellMar>
            <w:top w:w="0" w:type="dxa"/>
            <w:left w:w="108" w:type="dxa"/>
            <w:bottom w:w="0" w:type="dxa"/>
            <w:right w:w="108" w:type="dxa"/>
          </w:tblCellMar>
        </w:tblPrEx>
        <w:trPr>
          <w:trHeight w:val="300" w:hRule="atLeast"/>
        </w:trPr>
        <w:tc>
          <w:tcPr>
            <w:tcW w:w="20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进社区</w:t>
            </w:r>
          </w:p>
        </w:tc>
        <w:tc>
          <w:tcPr>
            <w:tcW w:w="289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300" w:hRule="atLeast"/>
        </w:trPr>
        <w:tc>
          <w:tcPr>
            <w:tcW w:w="20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进校园</w:t>
            </w:r>
          </w:p>
        </w:tc>
        <w:tc>
          <w:tcPr>
            <w:tcW w:w="289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300" w:hRule="atLeast"/>
        </w:trPr>
        <w:tc>
          <w:tcPr>
            <w:tcW w:w="20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医院义诊</w:t>
            </w:r>
          </w:p>
        </w:tc>
        <w:tc>
          <w:tcPr>
            <w:tcW w:w="289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300" w:hRule="atLeast"/>
        </w:trPr>
        <w:tc>
          <w:tcPr>
            <w:tcW w:w="20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健身运动</w:t>
            </w:r>
          </w:p>
        </w:tc>
        <w:tc>
          <w:tcPr>
            <w:tcW w:w="289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300" w:hRule="atLeast"/>
        </w:trPr>
        <w:tc>
          <w:tcPr>
            <w:tcW w:w="20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中心设置宣传点</w:t>
            </w:r>
          </w:p>
        </w:tc>
        <w:tc>
          <w:tcPr>
            <w:tcW w:w="289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300" w:hRule="atLeast"/>
        </w:trPr>
        <w:tc>
          <w:tcPr>
            <w:tcW w:w="20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p>
        </w:tc>
        <w:tc>
          <w:tcPr>
            <w:tcW w:w="289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300" w:hRule="atLeast"/>
        </w:trPr>
        <w:tc>
          <w:tcPr>
            <w:tcW w:w="20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合计</w:t>
            </w:r>
          </w:p>
        </w:tc>
        <w:tc>
          <w:tcPr>
            <w:tcW w:w="289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300" w:hRule="atLeast"/>
        </w:trPr>
        <w:tc>
          <w:tcPr>
            <w:tcW w:w="8791"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参与媒体</w:t>
            </w:r>
          </w:p>
        </w:tc>
      </w:tr>
      <w:tr>
        <w:tblPrEx>
          <w:tblCellMar>
            <w:top w:w="0" w:type="dxa"/>
            <w:left w:w="108" w:type="dxa"/>
            <w:bottom w:w="0" w:type="dxa"/>
            <w:right w:w="108" w:type="dxa"/>
          </w:tblCellMar>
        </w:tblPrEx>
        <w:trPr>
          <w:trHeight w:val="300" w:hRule="atLeast"/>
        </w:trPr>
        <w:tc>
          <w:tcPr>
            <w:tcW w:w="20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级别</w:t>
            </w:r>
          </w:p>
        </w:tc>
        <w:tc>
          <w:tcPr>
            <w:tcW w:w="289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名称</w:t>
            </w:r>
          </w:p>
        </w:tc>
        <w:tc>
          <w:tcPr>
            <w:tcW w:w="3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报道篇数</w:t>
            </w:r>
          </w:p>
        </w:tc>
      </w:tr>
      <w:tr>
        <w:tblPrEx>
          <w:tblCellMar>
            <w:top w:w="0" w:type="dxa"/>
            <w:left w:w="108" w:type="dxa"/>
            <w:bottom w:w="0" w:type="dxa"/>
            <w:right w:w="108" w:type="dxa"/>
          </w:tblCellMar>
        </w:tblPrEx>
        <w:trPr>
          <w:trHeight w:val="300" w:hRule="atLeast"/>
        </w:trPr>
        <w:tc>
          <w:tcPr>
            <w:tcW w:w="20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国家级媒体</w:t>
            </w:r>
          </w:p>
        </w:tc>
        <w:tc>
          <w:tcPr>
            <w:tcW w:w="289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300" w:hRule="atLeast"/>
        </w:trPr>
        <w:tc>
          <w:tcPr>
            <w:tcW w:w="20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289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300" w:hRule="atLeast"/>
        </w:trPr>
        <w:tc>
          <w:tcPr>
            <w:tcW w:w="20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地方媒体</w:t>
            </w:r>
          </w:p>
        </w:tc>
        <w:tc>
          <w:tcPr>
            <w:tcW w:w="289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300" w:hRule="atLeast"/>
        </w:trPr>
        <w:tc>
          <w:tcPr>
            <w:tcW w:w="20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289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300" w:hRule="atLeast"/>
        </w:trPr>
        <w:tc>
          <w:tcPr>
            <w:tcW w:w="20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自媒体</w:t>
            </w:r>
          </w:p>
        </w:tc>
        <w:tc>
          <w:tcPr>
            <w:tcW w:w="289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300" w:hRule="atLeast"/>
        </w:trPr>
        <w:tc>
          <w:tcPr>
            <w:tcW w:w="20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289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300" w:hRule="atLeast"/>
        </w:trPr>
        <w:tc>
          <w:tcPr>
            <w:tcW w:w="20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289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379" w:hRule="atLeast"/>
        </w:trPr>
        <w:tc>
          <w:tcPr>
            <w:tcW w:w="20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合计</w:t>
            </w:r>
          </w:p>
        </w:tc>
        <w:tc>
          <w:tcPr>
            <w:tcW w:w="6764"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379" w:hRule="atLeast"/>
        </w:trPr>
        <w:tc>
          <w:tcPr>
            <w:tcW w:w="8791"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全民营养周活动总结报告</w:t>
            </w:r>
          </w:p>
        </w:tc>
      </w:tr>
      <w:tr>
        <w:tblPrEx>
          <w:tblCellMar>
            <w:top w:w="0" w:type="dxa"/>
            <w:left w:w="108" w:type="dxa"/>
            <w:bottom w:w="0" w:type="dxa"/>
            <w:right w:w="108" w:type="dxa"/>
          </w:tblCellMar>
        </w:tblPrEx>
        <w:trPr>
          <w:trHeight w:val="990" w:hRule="atLeast"/>
        </w:trPr>
        <w:tc>
          <w:tcPr>
            <w:tcW w:w="8791"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全民营养周活动组织建设；启动仪式及特色活动开展情况；取得成效。</w:t>
            </w:r>
          </w:p>
        </w:tc>
      </w:tr>
      <w:tr>
        <w:tblPrEx>
          <w:tblCellMar>
            <w:top w:w="0" w:type="dxa"/>
            <w:left w:w="108" w:type="dxa"/>
            <w:bottom w:w="0" w:type="dxa"/>
            <w:right w:w="108" w:type="dxa"/>
          </w:tblCellMar>
        </w:tblPrEx>
        <w:trPr>
          <w:trHeight w:val="915" w:hRule="atLeast"/>
        </w:trPr>
        <w:tc>
          <w:tcPr>
            <w:tcW w:w="20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附 件</w:t>
            </w:r>
          </w:p>
        </w:tc>
        <w:tc>
          <w:tcPr>
            <w:tcW w:w="6764"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文件、活动照片、媒体报道截图等（每张图片需单独命名，包括：时间、地点、人物、事件）</w:t>
            </w:r>
          </w:p>
        </w:tc>
      </w:tr>
      <w:tr>
        <w:tblPrEx>
          <w:tblCellMar>
            <w:top w:w="0" w:type="dxa"/>
            <w:left w:w="108" w:type="dxa"/>
            <w:bottom w:w="0" w:type="dxa"/>
            <w:right w:w="108" w:type="dxa"/>
          </w:tblCellMar>
        </w:tblPrEx>
        <w:trPr>
          <w:trHeight w:val="975" w:hRule="atLeast"/>
        </w:trPr>
        <w:tc>
          <w:tcPr>
            <w:tcW w:w="20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6764"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color w:val="000000"/>
                <w:kern w:val="0"/>
                <w:sz w:val="24"/>
                <w:szCs w:val="24"/>
              </w:rPr>
              <w:t>照片需单独发送，不要附在word文档，请保证照片清晰度，大小需1M或以上（如果有领导出席活动，请务必提供照片并命名）</w:t>
            </w:r>
          </w:p>
        </w:tc>
      </w:tr>
    </w:tbl>
    <w:p>
      <w:pPr>
        <w:keepNext w:val="0"/>
        <w:keepLines w:val="0"/>
        <w:pageBreakBefore w:val="0"/>
        <w:widowControl w:val="0"/>
        <w:kinsoku/>
        <w:wordWrap/>
        <w:overflowPunct/>
        <w:topLinePunct w:val="0"/>
        <w:autoSpaceDE/>
        <w:autoSpaceDN/>
        <w:bidi w:val="0"/>
        <w:adjustRightInd/>
        <w:snapToGrid/>
        <w:spacing w:line="590" w:lineRule="exact"/>
        <w:ind w:left="980" w:leftChars="100" w:right="210" w:rightChars="100" w:hanging="770" w:hangingChars="275"/>
        <w:textAlignment w:val="auto"/>
        <w:rPr>
          <w:rFonts w:hint="eastAsia" w:ascii="仿宋_GB2312" w:hAnsi="Times New Roman" w:eastAsia="仿宋_GB2312"/>
          <w:color w:val="000000"/>
          <w:sz w:val="28"/>
          <w:szCs w:val="28"/>
        </w:rPr>
      </w:pPr>
    </w:p>
    <w:p>
      <w:pPr>
        <w:widowControl w:val="0"/>
        <w:shd w:val="clear" w:color="auto" w:fill="auto"/>
        <w:spacing w:line="590" w:lineRule="exact"/>
        <w:ind w:left="980" w:leftChars="100" w:right="210" w:rightChars="100" w:hanging="770" w:hangingChars="275"/>
        <w:rPr>
          <w:rFonts w:hint="eastAsia" w:ascii="仿宋_GB2312" w:hAnsi="Times New Roman" w:eastAsia="仿宋_GB2312"/>
          <w:color w:val="000000"/>
          <w:sz w:val="28"/>
          <w:szCs w:val="28"/>
        </w:rPr>
      </w:pPr>
    </w:p>
    <w:p>
      <w:pPr>
        <w:widowControl w:val="0"/>
        <w:shd w:val="clear" w:color="auto" w:fill="auto"/>
        <w:spacing w:line="590" w:lineRule="exact"/>
        <w:ind w:left="980" w:leftChars="100" w:right="210" w:rightChars="100" w:hanging="770" w:hangingChars="275"/>
        <w:rPr>
          <w:rFonts w:hint="eastAsia" w:ascii="仿宋_GB2312" w:hAnsi="Times New Roman" w:eastAsia="仿宋_GB2312"/>
          <w:color w:val="000000"/>
          <w:sz w:val="28"/>
          <w:szCs w:val="28"/>
        </w:rPr>
      </w:pPr>
    </w:p>
    <w:p>
      <w:pPr>
        <w:widowControl w:val="0"/>
        <w:shd w:val="clear" w:color="auto" w:fill="auto"/>
        <w:spacing w:line="590" w:lineRule="exact"/>
        <w:ind w:left="980" w:leftChars="100" w:right="210" w:rightChars="100" w:hanging="770" w:hangingChars="275"/>
        <w:rPr>
          <w:rFonts w:hint="eastAsia" w:ascii="仿宋_GB2312" w:hAnsi="Times New Roman" w:eastAsia="仿宋_GB2312"/>
          <w:color w:val="000000"/>
          <w:sz w:val="28"/>
          <w:szCs w:val="28"/>
        </w:rPr>
      </w:pPr>
    </w:p>
    <w:p>
      <w:pPr>
        <w:widowControl w:val="0"/>
        <w:shd w:val="clear" w:color="auto" w:fill="auto"/>
        <w:spacing w:line="590" w:lineRule="exact"/>
        <w:ind w:left="980" w:leftChars="100" w:right="210" w:rightChars="100" w:hanging="770" w:hangingChars="275"/>
        <w:rPr>
          <w:rFonts w:hint="eastAsia" w:ascii="仿宋_GB2312" w:hAnsi="Times New Roman" w:eastAsia="仿宋_GB2312"/>
          <w:color w:val="000000"/>
          <w:sz w:val="28"/>
          <w:szCs w:val="28"/>
        </w:rPr>
      </w:pPr>
    </w:p>
    <w:p>
      <w:pPr>
        <w:widowControl w:val="0"/>
        <w:shd w:val="clear" w:color="auto" w:fill="auto"/>
        <w:spacing w:line="590" w:lineRule="exact"/>
        <w:ind w:left="980" w:leftChars="100" w:right="210" w:rightChars="100" w:hanging="770" w:hangingChars="275"/>
        <w:rPr>
          <w:rFonts w:hint="eastAsia" w:ascii="仿宋_GB2312" w:hAnsi="Times New Roman" w:eastAsia="仿宋_GB2312"/>
          <w:color w:val="000000"/>
          <w:sz w:val="28"/>
          <w:szCs w:val="28"/>
        </w:rPr>
      </w:pPr>
    </w:p>
    <w:p>
      <w:pPr>
        <w:widowControl w:val="0"/>
        <w:shd w:val="clear" w:color="auto" w:fill="auto"/>
        <w:spacing w:line="590" w:lineRule="exact"/>
        <w:ind w:left="980" w:leftChars="100" w:right="210" w:rightChars="100" w:hanging="770" w:hangingChars="275"/>
        <w:rPr>
          <w:rFonts w:hint="eastAsia" w:ascii="仿宋_GB2312" w:hAnsi="Times New Roman" w:eastAsia="仿宋_GB2312"/>
          <w:color w:val="000000"/>
          <w:sz w:val="28"/>
          <w:szCs w:val="28"/>
        </w:rPr>
      </w:pPr>
    </w:p>
    <w:p>
      <w:pPr>
        <w:widowControl w:val="0"/>
        <w:shd w:val="clear" w:color="auto" w:fill="auto"/>
        <w:spacing w:line="590" w:lineRule="exact"/>
        <w:ind w:left="980" w:leftChars="100" w:right="210" w:rightChars="100" w:hanging="770" w:hangingChars="275"/>
        <w:rPr>
          <w:rFonts w:hint="eastAsia" w:ascii="仿宋_GB2312" w:hAnsi="Times New Roman" w:eastAsia="仿宋_GB2312"/>
          <w:color w:val="000000"/>
          <w:sz w:val="28"/>
          <w:szCs w:val="28"/>
        </w:rPr>
      </w:pPr>
    </w:p>
    <w:p>
      <w:pPr>
        <w:widowControl w:val="0"/>
        <w:shd w:val="clear" w:color="auto" w:fill="auto"/>
        <w:spacing w:line="590" w:lineRule="exact"/>
        <w:ind w:left="980" w:leftChars="100" w:right="210" w:rightChars="100" w:hanging="770" w:hangingChars="275"/>
        <w:rPr>
          <w:rFonts w:hint="eastAsia" w:ascii="仿宋_GB2312" w:hAnsi="Times New Roman" w:eastAsia="仿宋_GB2312"/>
          <w:color w:val="000000"/>
          <w:sz w:val="28"/>
          <w:szCs w:val="28"/>
        </w:rPr>
      </w:pPr>
    </w:p>
    <w:p>
      <w:pPr>
        <w:widowControl w:val="0"/>
        <w:shd w:val="clear" w:color="auto" w:fill="auto"/>
        <w:spacing w:line="590" w:lineRule="exact"/>
        <w:ind w:left="980" w:leftChars="100" w:right="210" w:rightChars="100" w:hanging="770" w:hangingChars="275"/>
        <w:rPr>
          <w:rFonts w:hint="eastAsia" w:ascii="仿宋_GB2312" w:hAnsi="Times New Roman" w:eastAsia="仿宋_GB2312"/>
          <w:color w:val="000000"/>
          <w:sz w:val="28"/>
          <w:szCs w:val="28"/>
        </w:rPr>
      </w:pPr>
    </w:p>
    <w:p>
      <w:pPr>
        <w:widowControl w:val="0"/>
        <w:shd w:val="clear" w:color="auto" w:fill="auto"/>
        <w:spacing w:line="590" w:lineRule="exact"/>
        <w:ind w:left="980" w:leftChars="100" w:right="210" w:rightChars="100" w:hanging="770" w:hangingChars="275"/>
        <w:rPr>
          <w:rFonts w:hint="eastAsia" w:ascii="仿宋_GB2312" w:hAnsi="Times New Roman" w:eastAsia="仿宋_GB2312"/>
          <w:color w:val="000000"/>
          <w:sz w:val="28"/>
          <w:szCs w:val="28"/>
        </w:rPr>
      </w:pPr>
    </w:p>
    <w:p>
      <w:pPr>
        <w:widowControl w:val="0"/>
        <w:shd w:val="clear" w:color="auto" w:fill="auto"/>
        <w:spacing w:line="590" w:lineRule="exact"/>
        <w:ind w:left="980" w:leftChars="100" w:right="210" w:rightChars="100" w:hanging="770" w:hangingChars="275"/>
        <w:rPr>
          <w:rFonts w:hint="eastAsia" w:ascii="仿宋_GB2312" w:hAnsi="Times New Roman" w:eastAsia="仿宋_GB2312"/>
          <w:color w:val="000000"/>
          <w:sz w:val="28"/>
          <w:szCs w:val="28"/>
        </w:rPr>
      </w:pPr>
    </w:p>
    <w:p>
      <w:pPr>
        <w:widowControl w:val="0"/>
        <w:shd w:val="clear" w:color="auto" w:fill="auto"/>
        <w:spacing w:line="590" w:lineRule="exact"/>
        <w:ind w:left="980" w:leftChars="100" w:right="210" w:rightChars="100" w:hanging="770" w:hangingChars="275"/>
        <w:rPr>
          <w:rFonts w:hint="eastAsia" w:ascii="仿宋_GB2312" w:hAnsi="Times New Roman" w:eastAsia="仿宋_GB2312"/>
          <w:color w:val="000000"/>
          <w:sz w:val="28"/>
          <w:szCs w:val="28"/>
        </w:rPr>
      </w:pPr>
    </w:p>
    <w:p>
      <w:pPr>
        <w:widowControl w:val="0"/>
        <w:shd w:val="clear" w:color="auto" w:fill="auto"/>
        <w:spacing w:line="590" w:lineRule="exact"/>
        <w:ind w:left="980" w:leftChars="100" w:right="210" w:rightChars="100" w:hanging="770" w:hangingChars="275"/>
        <w:rPr>
          <w:rFonts w:hint="eastAsia" w:ascii="仿宋_GB2312" w:hAnsi="Times New Roman" w:eastAsia="仿宋_GB2312"/>
          <w:color w:val="000000"/>
          <w:sz w:val="28"/>
          <w:szCs w:val="28"/>
        </w:rPr>
      </w:pPr>
    </w:p>
    <w:p>
      <w:pPr>
        <w:widowControl w:val="0"/>
        <w:shd w:val="clear" w:color="auto" w:fill="auto"/>
        <w:spacing w:line="590" w:lineRule="exact"/>
        <w:ind w:left="980" w:leftChars="100" w:right="210" w:rightChars="100" w:hanging="770" w:hangingChars="275"/>
        <w:rPr>
          <w:rFonts w:hint="eastAsia" w:ascii="仿宋_GB2312" w:hAnsi="Times New Roman" w:eastAsia="仿宋_GB2312"/>
          <w:color w:val="000000"/>
          <w:sz w:val="28"/>
          <w:szCs w:val="28"/>
        </w:rPr>
      </w:pPr>
    </w:p>
    <w:p>
      <w:pPr>
        <w:widowControl w:val="0"/>
        <w:shd w:val="clear" w:color="auto" w:fill="auto"/>
        <w:spacing w:line="590" w:lineRule="exact"/>
        <w:ind w:left="980" w:leftChars="100" w:right="210" w:rightChars="100" w:hanging="770" w:hangingChars="275"/>
        <w:rPr>
          <w:rFonts w:hint="eastAsia" w:ascii="仿宋_GB2312" w:hAnsi="Times New Roman" w:eastAsia="仿宋_GB2312"/>
          <w:color w:val="000000"/>
          <w:sz w:val="28"/>
          <w:szCs w:val="28"/>
        </w:rPr>
      </w:pPr>
    </w:p>
    <w:p>
      <w:pPr>
        <w:widowControl w:val="0"/>
        <w:shd w:val="clear" w:color="auto" w:fill="auto"/>
        <w:spacing w:line="590" w:lineRule="exact"/>
        <w:ind w:left="980" w:leftChars="100" w:right="210" w:rightChars="100" w:hanging="770" w:hangingChars="275"/>
        <w:rPr>
          <w:rFonts w:hint="eastAsia" w:ascii="仿宋_GB2312" w:hAnsi="Times New Roman" w:eastAsia="仿宋_GB2312"/>
          <w:color w:val="000000"/>
          <w:sz w:val="28"/>
          <w:szCs w:val="28"/>
        </w:rPr>
      </w:pPr>
    </w:p>
    <w:p>
      <w:pPr>
        <w:widowControl w:val="0"/>
        <w:shd w:val="clear" w:color="auto" w:fill="auto"/>
        <w:spacing w:line="590" w:lineRule="exact"/>
        <w:ind w:left="980" w:leftChars="100" w:right="210" w:rightChars="100" w:hanging="770" w:hangingChars="275"/>
        <w:rPr>
          <w:rFonts w:hint="eastAsia" w:ascii="仿宋_GB2312" w:hAnsi="Times New Roman" w:eastAsia="仿宋_GB2312"/>
          <w:color w:val="000000"/>
          <w:sz w:val="28"/>
          <w:szCs w:val="28"/>
        </w:rPr>
      </w:pPr>
    </w:p>
    <w:p>
      <w:pPr>
        <w:widowControl w:val="0"/>
        <w:shd w:val="clear" w:color="auto" w:fill="auto"/>
        <w:spacing w:line="590" w:lineRule="exact"/>
        <w:ind w:left="980" w:leftChars="100" w:right="210" w:rightChars="100" w:hanging="770" w:hangingChars="275"/>
        <w:rPr>
          <w:rFonts w:hint="eastAsia" w:ascii="仿宋_GB2312" w:hAnsi="Times New Roman" w:eastAsia="仿宋_GB2312"/>
          <w:color w:val="000000"/>
          <w:sz w:val="28"/>
          <w:szCs w:val="28"/>
        </w:rPr>
      </w:pPr>
    </w:p>
    <w:p>
      <w:pPr>
        <w:widowControl w:val="0"/>
        <w:shd w:val="clear" w:color="auto" w:fill="auto"/>
        <w:spacing w:line="590" w:lineRule="exact"/>
        <w:ind w:left="980" w:leftChars="100" w:right="210" w:rightChars="100" w:hanging="770" w:hangingChars="275"/>
        <w:rPr>
          <w:rFonts w:hint="eastAsia" w:ascii="仿宋_GB2312" w:hAnsi="Times New Roman" w:eastAsia="仿宋_GB2312"/>
          <w:color w:val="000000"/>
          <w:sz w:val="28"/>
          <w:szCs w:val="28"/>
        </w:rPr>
      </w:pPr>
    </w:p>
    <w:p>
      <w:pPr>
        <w:widowControl w:val="0"/>
        <w:shd w:val="clear" w:color="auto" w:fill="auto"/>
        <w:spacing w:line="590" w:lineRule="exact"/>
        <w:ind w:left="980" w:leftChars="100" w:right="210" w:rightChars="100" w:hanging="770" w:hangingChars="275"/>
        <w:rPr>
          <w:rFonts w:hint="eastAsia" w:ascii="仿宋_GB2312" w:hAnsi="Times New Roman" w:eastAsia="仿宋_GB2312"/>
          <w:color w:val="000000"/>
          <w:sz w:val="28"/>
          <w:szCs w:val="28"/>
        </w:rPr>
      </w:pPr>
    </w:p>
    <w:p>
      <w:pPr>
        <w:widowControl w:val="0"/>
        <w:shd w:val="clear" w:color="auto" w:fill="auto"/>
        <w:spacing w:line="590" w:lineRule="exact"/>
        <w:ind w:left="980" w:leftChars="100" w:right="210" w:rightChars="100" w:hanging="770" w:hangingChars="275"/>
        <w:rPr>
          <w:rFonts w:hint="eastAsia" w:ascii="仿宋_GB2312" w:hAnsi="Times New Roman" w:eastAsia="仿宋_GB2312"/>
          <w:color w:val="000000"/>
          <w:sz w:val="28"/>
          <w:szCs w:val="28"/>
        </w:rPr>
      </w:pPr>
    </w:p>
    <w:p>
      <w:pPr>
        <w:widowControl w:val="0"/>
        <w:shd w:val="clear" w:color="auto" w:fill="auto"/>
        <w:spacing w:line="590" w:lineRule="exact"/>
        <w:ind w:left="980" w:leftChars="100" w:right="210" w:rightChars="100" w:hanging="770" w:hangingChars="275"/>
        <w:rPr>
          <w:rFonts w:hint="eastAsia" w:ascii="仿宋_GB2312" w:hAnsi="Times New Roman" w:eastAsia="仿宋_GB2312"/>
          <w:color w:val="000000"/>
          <w:sz w:val="28"/>
          <w:szCs w:val="28"/>
        </w:rPr>
      </w:pPr>
    </w:p>
    <w:p>
      <w:pPr>
        <w:widowControl w:val="0"/>
        <w:shd w:val="clear" w:color="auto" w:fill="auto"/>
        <w:spacing w:line="590" w:lineRule="exact"/>
        <w:ind w:left="980" w:leftChars="100" w:right="210" w:rightChars="100" w:hanging="770" w:hangingChars="275"/>
        <w:rPr>
          <w:rFonts w:hint="eastAsia" w:ascii="仿宋_GB2312" w:hAnsi="Times New Roman" w:eastAsia="仿宋_GB2312"/>
          <w:color w:val="000000"/>
          <w:sz w:val="28"/>
          <w:szCs w:val="28"/>
        </w:rPr>
      </w:pPr>
    </w:p>
    <w:p>
      <w:pPr>
        <w:widowControl w:val="0"/>
        <w:shd w:val="clear" w:color="auto" w:fill="auto"/>
        <w:spacing w:line="590" w:lineRule="exact"/>
        <w:ind w:left="980" w:leftChars="100" w:right="210" w:rightChars="100" w:hanging="770" w:hangingChars="275"/>
        <w:rPr>
          <w:rFonts w:hint="eastAsia" w:ascii="仿宋_GB2312" w:hAnsi="Times New Roman" w:eastAsia="仿宋_GB2312"/>
          <w:color w:val="000000"/>
          <w:sz w:val="28"/>
          <w:szCs w:val="28"/>
        </w:rPr>
      </w:pPr>
    </w:p>
    <w:p>
      <w:pPr>
        <w:widowControl w:val="0"/>
        <w:shd w:val="clear" w:color="auto" w:fill="auto"/>
        <w:spacing w:line="590" w:lineRule="exact"/>
        <w:ind w:left="980" w:leftChars="100" w:right="210" w:rightChars="100" w:hanging="770" w:hangingChars="275"/>
        <w:rPr>
          <w:rFonts w:hint="eastAsia" w:ascii="仿宋_GB2312" w:hAnsi="Times New Roman" w:eastAsia="仿宋_GB2312"/>
          <w:color w:val="000000"/>
          <w:sz w:val="28"/>
          <w:szCs w:val="28"/>
        </w:rPr>
      </w:pPr>
    </w:p>
    <w:p>
      <w:pPr>
        <w:widowControl w:val="0"/>
        <w:shd w:val="clear" w:color="auto" w:fill="auto"/>
        <w:spacing w:line="590" w:lineRule="exact"/>
        <w:ind w:left="980" w:leftChars="100" w:right="210" w:rightChars="100" w:hanging="770" w:hangingChars="275"/>
        <w:rPr>
          <w:rFonts w:hint="eastAsia" w:ascii="仿宋_GB2312" w:hAnsi="Times New Roman" w:eastAsia="仿宋_GB2312"/>
          <w:color w:val="000000"/>
          <w:sz w:val="28"/>
          <w:szCs w:val="28"/>
        </w:rPr>
      </w:pPr>
    </w:p>
    <w:p>
      <w:pPr>
        <w:widowControl w:val="0"/>
        <w:shd w:val="clear" w:color="auto" w:fill="auto"/>
        <w:spacing w:line="590" w:lineRule="exact"/>
        <w:ind w:left="980" w:leftChars="100" w:right="210" w:rightChars="100" w:hanging="770" w:hangingChars="275"/>
        <w:rPr>
          <w:rFonts w:hint="eastAsia" w:ascii="仿宋_GB2312" w:hAnsi="Times New Roman" w:eastAsia="仿宋_GB2312"/>
          <w:color w:val="000000"/>
          <w:sz w:val="28"/>
          <w:szCs w:val="28"/>
        </w:rPr>
      </w:pPr>
    </w:p>
    <w:p>
      <w:pPr>
        <w:widowControl w:val="0"/>
        <w:shd w:val="clear" w:color="auto" w:fill="auto"/>
        <w:spacing w:line="590" w:lineRule="exact"/>
        <w:ind w:left="980" w:leftChars="100" w:right="210" w:rightChars="100" w:hanging="770" w:hangingChars="275"/>
        <w:rPr>
          <w:rFonts w:hint="eastAsia" w:ascii="仿宋_GB2312" w:hAnsi="Times New Roman" w:eastAsia="仿宋_GB2312"/>
          <w:color w:val="000000"/>
          <w:sz w:val="28"/>
          <w:szCs w:val="28"/>
        </w:rPr>
      </w:pPr>
    </w:p>
    <w:p>
      <w:pPr>
        <w:widowControl w:val="0"/>
        <w:shd w:val="clear" w:color="auto" w:fill="auto"/>
        <w:spacing w:line="590" w:lineRule="exact"/>
        <w:ind w:left="980" w:leftChars="100" w:right="210" w:rightChars="100" w:hanging="770" w:hangingChars="275"/>
        <w:rPr>
          <w:rFonts w:hint="eastAsia" w:ascii="仿宋_GB2312" w:hAnsi="Times New Roman" w:eastAsia="仿宋_GB2312"/>
          <w:color w:val="000000"/>
          <w:sz w:val="28"/>
          <w:szCs w:val="28"/>
        </w:rPr>
      </w:pPr>
    </w:p>
    <w:p>
      <w:pPr>
        <w:widowControl w:val="0"/>
        <w:shd w:val="clear" w:color="auto" w:fill="auto"/>
        <w:spacing w:line="590" w:lineRule="exact"/>
        <w:ind w:left="980" w:leftChars="100" w:right="210" w:rightChars="100" w:hanging="770" w:hangingChars="275"/>
        <w:rPr>
          <w:rFonts w:hint="eastAsia" w:ascii="仿宋_GB2312" w:hAnsi="Times New Roman" w:eastAsia="仿宋_GB2312"/>
          <w:color w:val="000000"/>
          <w:sz w:val="28"/>
          <w:szCs w:val="28"/>
        </w:rPr>
      </w:pPr>
    </w:p>
    <w:p>
      <w:pPr>
        <w:widowControl w:val="0"/>
        <w:shd w:val="clear" w:color="auto" w:fill="auto"/>
        <w:spacing w:line="590" w:lineRule="exact"/>
        <w:ind w:left="980" w:leftChars="100" w:right="210" w:rightChars="100" w:hanging="770" w:hangingChars="275"/>
        <w:rPr>
          <w:rFonts w:hint="eastAsia" w:ascii="仿宋_GB2312" w:hAnsi="Times New Roman" w:eastAsia="仿宋_GB2312"/>
          <w:color w:val="000000"/>
          <w:sz w:val="28"/>
          <w:szCs w:val="28"/>
        </w:rPr>
      </w:pPr>
    </w:p>
    <w:p>
      <w:pPr>
        <w:widowControl w:val="0"/>
        <w:shd w:val="clear" w:color="auto" w:fill="auto"/>
        <w:spacing w:line="590" w:lineRule="exact"/>
        <w:ind w:left="980" w:leftChars="100" w:right="210" w:rightChars="100" w:hanging="770" w:hangingChars="275"/>
        <w:rPr>
          <w:rFonts w:hint="eastAsia" w:ascii="仿宋_GB2312" w:hAnsi="Times New Roman" w:eastAsia="仿宋_GB2312"/>
          <w:color w:val="000000"/>
          <w:sz w:val="28"/>
          <w:szCs w:val="28"/>
        </w:rPr>
      </w:pPr>
    </w:p>
    <w:p>
      <w:pPr>
        <w:widowControl w:val="0"/>
        <w:shd w:val="clear" w:color="auto" w:fill="auto"/>
        <w:snapToGrid w:val="0"/>
        <w:spacing w:line="240" w:lineRule="auto"/>
        <w:ind w:left="1097" w:leftChars="100" w:right="210" w:rightChars="100" w:hanging="887" w:hangingChars="317"/>
        <w:rPr>
          <w:rFonts w:hint="eastAsia" w:ascii="仿宋_GB2312" w:hAnsi="Times New Roman" w:eastAsia="仿宋_GB2312"/>
          <w:color w:val="000000"/>
          <w:sz w:val="28"/>
          <w:szCs w:val="28"/>
        </w:rPr>
      </w:pPr>
    </w:p>
    <w:p>
      <w:pPr>
        <w:widowControl w:val="0"/>
        <w:shd w:val="clear" w:color="auto" w:fill="auto"/>
        <w:spacing w:line="590" w:lineRule="exact"/>
        <w:ind w:left="1097" w:leftChars="100" w:right="210" w:rightChars="100" w:hanging="887" w:hangingChars="317"/>
      </w:pPr>
      <w:r>
        <w:rPr>
          <w:rFonts w:hint="eastAsia" w:ascii="仿宋_GB2312" w:hAnsi="Times New Roman" w:eastAsia="仿宋_GB2312"/>
          <w:color w:val="000000"/>
          <w:sz w:val="28"/>
          <w:szCs w:val="28"/>
        </w:rPr>
        <w:t>抄送：</w:t>
      </w:r>
      <w:bookmarkStart w:id="0" w:name="copydelivery"/>
      <w:r>
        <w:rPr>
          <w:rFonts w:hint="eastAsia" w:ascii="仿宋_GB2312" w:hAnsi="Times New Roman" w:eastAsia="仿宋_GB2312"/>
          <w:color w:val="000000"/>
          <w:sz w:val="28"/>
          <w:szCs w:val="28"/>
          <w:lang w:eastAsia="zh-CN"/>
        </w:rPr>
        <w:t>省食安办、农业农村厅、教育厅、体育局，省营养学会、营养师协会</w:t>
      </w:r>
      <w:bookmarkEnd w:id="0"/>
      <w:r>
        <w:rPr>
          <w:rFonts w:hint="eastAsia" w:ascii="仿宋_GB2312" w:hAnsi="Times New Roman" w:eastAsia="仿宋_GB2312"/>
          <w:color w:val="000000"/>
          <w:sz w:val="28"/>
          <w:szCs w:val="28"/>
        </w:rPr>
        <w:t>。</w:t>
      </w:r>
      <w:r>
        <w:rPr>
          <w:rFonts w:hint="eastAsia" w:ascii="仿宋_GB2312" w:hAnsi="Times New Roman" w:eastAsia="仿宋_GB2312"/>
          <w:color w:val="000000"/>
          <w:sz w:val="32"/>
          <w:szCs w:val="24"/>
        </w:rPr>
        <mc:AlternateContent>
          <mc:Choice Requires="wps">
            <w:drawing>
              <wp:anchor distT="0" distB="0" distL="114300" distR="114300" simplePos="0" relativeHeight="251661312"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3" name="文本框 3"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a:noFill/>
                        </a:ln>
                        <a:effectLst/>
                      </wps:spPr>
                      <wps:txbx>
                        <w:txbxContent>
                          <w:p>
                            <w:pPr>
                              <w:pStyle w:val="3"/>
                              <w:rPr>
                                <w:rFonts w:hint="eastAsia" w:ascii="方正仿宋简体" w:eastAsia="方正仿宋简体"/>
                                <w:sz w:val="31"/>
                                <w:szCs w:val="31"/>
                              </w:rPr>
                            </w:pPr>
                          </w:p>
                        </w:txbxContent>
                      </wps:txbx>
                      <wps:bodyPr wrap="square"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61312;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JKf5/1wAAAAwBAAAPAAAAAAAAAAEAIAAAACIAAABk&#10;cnMvZG93bnJldi54bWxQSwECFAAUAAAACACHTuJA0RtKws4BAACZAwAADgAAAAAAAAABACAAAAAm&#10;AQAAZHJzL2Uyb0RvYy54bWxQSwUGAAAAAAYABgBZAQAAZgUAAAAA&#10;">
                <v:path/>
                <v:fill on="f" focussize="0,0"/>
                <v:stroke on="f"/>
                <v:imagedata o:title=""/>
                <o:lock v:ext="edit" aspectratio="f"/>
                <v:textbox inset="0mm,0mm,0mm,0mm">
                  <w:txbxContent>
                    <w:p>
                      <w:pPr>
                        <w:pStyle w:val="3"/>
                        <w:rPr>
                          <w:rFonts w:hint="eastAsia" w:ascii="方正仿宋简体" w:eastAsia="方正仿宋简体"/>
                          <w:sz w:val="31"/>
                          <w:szCs w:val="31"/>
                        </w:rPr>
                      </w:pPr>
                    </w:p>
                  </w:txbxContent>
                </v:textbox>
                <w10:wrap type="topAndBottom"/>
                <w10:anchorlock/>
              </v:shape>
            </w:pict>
          </mc:Fallback>
        </mc:AlternateContent>
      </w:r>
      <w:r>
        <w:rPr>
          <w:rFonts w:hint="eastAsia" w:ascii="仿宋_GB2312" w:hAnsi="Times New Roman" w:eastAsia="仿宋_GB2312"/>
          <w:color w:val="000000"/>
          <w:sz w:val="32"/>
          <w:szCs w:val="24"/>
        </w:rPr>
        <mc:AlternateContent>
          <mc:Choice Requires="wps">
            <w:drawing>
              <wp:anchor distT="0" distB="0" distL="114300" distR="114300" simplePos="0" relativeHeight="251660288"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4" name="文本框 4"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a:noFill/>
                        </a:ln>
                        <a:effectLst/>
                      </wps:spPr>
                      <wps:txbx>
                        <w:txbxContent>
                          <w:p>
                            <w:pPr>
                              <w:wordWrap w:val="0"/>
                              <w:jc w:val="right"/>
                              <w:rPr>
                                <w:rFonts w:hint="eastAsia" w:ascii="方正仿宋简体" w:hAnsi="Times New Roman" w:eastAsia="方正仿宋简体"/>
                                <w:sz w:val="31"/>
                                <w:szCs w:val="31"/>
                              </w:rPr>
                            </w:pPr>
                            <w:r>
                              <w:rPr>
                                <w:rFonts w:hint="eastAsia" w:ascii="方正仿宋简体" w:hAnsi="Times New Roman" w:eastAsia="方正仿宋简体"/>
                                <w:sz w:val="31"/>
                                <w:szCs w:val="31"/>
                              </w:rPr>
                              <w:fldChar w:fldCharType="begin"/>
                            </w:r>
                            <w:r>
                              <w:rPr>
                                <w:rFonts w:hint="eastAsia" w:ascii="方正仿宋简体" w:hAnsi="Times New Roman" w:eastAsia="方正仿宋简体"/>
                                <w:sz w:val="31"/>
                                <w:szCs w:val="31"/>
                              </w:rPr>
                              <w:instrText xml:space="preserve"> MERGEFIELD 签发时间 </w:instrText>
                            </w:r>
                            <w:r>
                              <w:rPr>
                                <w:rFonts w:hint="eastAsia" w:ascii="方正仿宋简体" w:hAnsi="Times New Roman" w:eastAsia="方正仿宋简体"/>
                                <w:sz w:val="31"/>
                                <w:szCs w:val="31"/>
                              </w:rPr>
                              <w:fldChar w:fldCharType="separate"/>
                            </w:r>
                            <w:r>
                              <w:rPr>
                                <w:rFonts w:ascii="方正仿宋简体" w:hAnsi="Times New Roman" w:eastAsia="方正仿宋简体"/>
                                <w:sz w:val="31"/>
                                <w:szCs w:val="31"/>
                              </w:rPr>
                              <w:t>«</w:t>
                            </w:r>
                            <w:r>
                              <w:rPr>
                                <w:rFonts w:hint="eastAsia" w:ascii="方正仿宋简体" w:hAnsi="Times New Roman" w:eastAsia="方正仿宋简体"/>
                                <w:sz w:val="31"/>
                                <w:szCs w:val="31"/>
                              </w:rPr>
                              <w:t>签发时间</w:t>
                            </w:r>
                            <w:r>
                              <w:rPr>
                                <w:rFonts w:ascii="方正仿宋简体" w:hAnsi="Times New Roman" w:eastAsia="方正仿宋简体"/>
                                <w:sz w:val="31"/>
                                <w:szCs w:val="31"/>
                              </w:rPr>
                              <w:t>»</w:t>
                            </w:r>
                            <w:r>
                              <w:rPr>
                                <w:rFonts w:hint="eastAsia" w:ascii="方正仿宋简体" w:hAnsi="Times New Roman" w:eastAsia="方正仿宋简体"/>
                                <w:sz w:val="31"/>
                                <w:szCs w:val="31"/>
                              </w:rPr>
                              <w:fldChar w:fldCharType="end"/>
                            </w:r>
                            <w:r>
                              <w:rPr>
                                <w:rFonts w:hint="eastAsia" w:ascii="方正仿宋简体" w:hAnsi="Times New Roman" w:eastAsia="方正仿宋简体"/>
                                <w:sz w:val="31"/>
                                <w:szCs w:val="31"/>
                              </w:rPr>
                              <w:t xml:space="preserve">翻印  </w:t>
                            </w:r>
                          </w:p>
                        </w:txbxContent>
                      </wps:txbx>
                      <wps:bodyPr wrap="square"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60288;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jf3zZAAAADQEAAA8AAAAAAAAAAQAgAAAAIgAA&#10;AGRycy9kb3ducmV2LnhtbFBLAQIUABQAAAAIAIdO4kB9H21JzgEAAJkDAAAOAAAAAAAAAAEAIAAA&#10;ACgBAABkcnMvZTJvRG9jLnhtbFBLBQYAAAAABgAGAFkBAABoBQAAAAA=&#10;">
                <v:path/>
                <v:fill on="f" focussize="0,0"/>
                <v:stroke on="f"/>
                <v:imagedata o:title=""/>
                <o:lock v:ext="edit" aspectratio="f"/>
                <v:textbox inset="0mm,0mm,0mm,0mm">
                  <w:txbxContent>
                    <w:p>
                      <w:pPr>
                        <w:wordWrap w:val="0"/>
                        <w:jc w:val="right"/>
                        <w:rPr>
                          <w:rFonts w:hint="eastAsia" w:ascii="方正仿宋简体" w:hAnsi="Times New Roman" w:eastAsia="方正仿宋简体"/>
                          <w:sz w:val="31"/>
                          <w:szCs w:val="31"/>
                        </w:rPr>
                      </w:pPr>
                      <w:r>
                        <w:rPr>
                          <w:rFonts w:hint="eastAsia" w:ascii="方正仿宋简体" w:hAnsi="Times New Roman" w:eastAsia="方正仿宋简体"/>
                          <w:sz w:val="31"/>
                          <w:szCs w:val="31"/>
                        </w:rPr>
                        <w:fldChar w:fldCharType="begin"/>
                      </w:r>
                      <w:r>
                        <w:rPr>
                          <w:rFonts w:hint="eastAsia" w:ascii="方正仿宋简体" w:hAnsi="Times New Roman" w:eastAsia="方正仿宋简体"/>
                          <w:sz w:val="31"/>
                          <w:szCs w:val="31"/>
                        </w:rPr>
                        <w:instrText xml:space="preserve"> MERGEFIELD 签发时间 </w:instrText>
                      </w:r>
                      <w:r>
                        <w:rPr>
                          <w:rFonts w:hint="eastAsia" w:ascii="方正仿宋简体" w:hAnsi="Times New Roman" w:eastAsia="方正仿宋简体"/>
                          <w:sz w:val="31"/>
                          <w:szCs w:val="31"/>
                        </w:rPr>
                        <w:fldChar w:fldCharType="separate"/>
                      </w:r>
                      <w:r>
                        <w:rPr>
                          <w:rFonts w:ascii="方正仿宋简体" w:hAnsi="Times New Roman" w:eastAsia="方正仿宋简体"/>
                          <w:sz w:val="31"/>
                          <w:szCs w:val="31"/>
                        </w:rPr>
                        <w:t>«</w:t>
                      </w:r>
                      <w:r>
                        <w:rPr>
                          <w:rFonts w:hint="eastAsia" w:ascii="方正仿宋简体" w:hAnsi="Times New Roman" w:eastAsia="方正仿宋简体"/>
                          <w:sz w:val="31"/>
                          <w:szCs w:val="31"/>
                        </w:rPr>
                        <w:t>签发时间</w:t>
                      </w:r>
                      <w:r>
                        <w:rPr>
                          <w:rFonts w:ascii="方正仿宋简体" w:hAnsi="Times New Roman" w:eastAsia="方正仿宋简体"/>
                          <w:sz w:val="31"/>
                          <w:szCs w:val="31"/>
                        </w:rPr>
                        <w:t>»</w:t>
                      </w:r>
                      <w:r>
                        <w:rPr>
                          <w:rFonts w:hint="eastAsia" w:ascii="方正仿宋简体" w:hAnsi="Times New Roman" w:eastAsia="方正仿宋简体"/>
                          <w:sz w:val="31"/>
                          <w:szCs w:val="31"/>
                        </w:rPr>
                        <w:fldChar w:fldCharType="end"/>
                      </w:r>
                      <w:r>
                        <w:rPr>
                          <w:rFonts w:hint="eastAsia" w:ascii="方正仿宋简体" w:hAnsi="Times New Roman" w:eastAsia="方正仿宋简体"/>
                          <w:sz w:val="31"/>
                          <w:szCs w:val="31"/>
                        </w:rPr>
                        <w:t xml:space="preserve">翻印  </w:t>
                      </w:r>
                    </w:p>
                  </w:txbxContent>
                </v:textbox>
                <w10:wrap type="topAndBottom"/>
                <w10:anchorlock/>
              </v:shape>
            </w:pict>
          </mc:Fallback>
        </mc:AlternateContent>
      </w:r>
      <w:r>
        <w:rPr>
          <w:rFonts w:hint="eastAsia" w:ascii="仿宋_GB2312" w:hAnsi="Times New Roman" w:eastAsia="仿宋_GB2312"/>
          <w:color w:val="000000"/>
          <w:sz w:val="32"/>
          <w:szCs w:val="24"/>
        </w:rPr>
        <mc:AlternateContent>
          <mc:Choice Requires="wps">
            <w:drawing>
              <wp:anchor distT="0" distB="0" distL="114300" distR="114300" simplePos="0" relativeHeight="251659264"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5" name="直接连接符 5" hidden="1"/>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59264;mso-width-relative:page;mso-height-relative:page;" filled="f" stroked="t"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lSXodcAAAAMAQAADwAAAAAAAAABACAAAAAiAAAAZHJzL2Rvd25y&#10;ZXYueG1sUEsBAhQAFAAAAAgAh07iQOMFWTf/AQAA/gMAAA4AAAAAAAAAAQAgAAAAJgEAAGRycy9l&#10;Mm9Eb2MueG1sUEsFBgAAAAAGAAYAWQEAAJcFAAAAAA==&#10;">
                <v:path arrowok="t"/>
                <v:fill on="f" focussize="0,0"/>
                <v:stroke weight="1pt" joinstyle="round"/>
                <v:imagedata o:title=""/>
                <o:lock v:ext="edit" aspectratio="f"/>
                <w10:wrap type="topAndBottom"/>
                <w10:anchorlock/>
              </v:line>
            </w:pict>
          </mc:Fallback>
        </mc:AlternateContent>
      </w:r>
      <w:bookmarkStart w:id="1" w:name="_GoBack"/>
      <w:bookmarkEnd w:id="1"/>
    </w:p>
    <w:sectPr>
      <w:footerReference r:id="rId3" w:type="default"/>
      <w:pgSz w:w="11906" w:h="16838"/>
      <w:pgMar w:top="1814" w:right="1474" w:bottom="1644" w:left="1587" w:header="851" w:footer="1247" w:gutter="0"/>
      <w:pgNumType w:fmt="decimal" w:start="5"/>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151027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qFormat/>
    <w:uiPriority w:val="0"/>
    <w:pPr>
      <w:widowControl w:val="0"/>
      <w:spacing w:after="120" w:afterLines="0" w:afterAutospacing="0"/>
      <w:jc w:val="both"/>
    </w:pPr>
    <w:rPr>
      <w:rFonts w:ascii="Times New Roman" w:hAnsi="Times New Roman" w:eastAsia="仿宋_GB2312" w:cs="Times New Roman"/>
      <w:kern w:val="2"/>
      <w:sz w:val="32"/>
      <w:szCs w:val="24"/>
      <w:lang w:val="en-US" w:eastAsia="zh-CN" w:bidi="ar-SA"/>
    </w:rPr>
  </w:style>
  <w:style w:type="paragraph" w:styleId="3">
    <w:name w:val="Date"/>
    <w:next w:val="1"/>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2022-05-18T02:45:25Z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BB0A760450264FEF980349E058967BB7</vt:lpwstr>
  </property>
</Properties>
</file>