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仿宋_GB2312" w:eastAsia="黑体" w:cs="仿宋_GB2312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 xml:space="preserve">2021 年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市酒类、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水产及其制品类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食品安全标准跟踪评价建议汇总表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35"/>
          <w:szCs w:val="35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5"/>
        <w:gridCol w:w="2361"/>
        <w:gridCol w:w="2364"/>
        <w:gridCol w:w="2361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kern w:val="0"/>
                <w:sz w:val="32"/>
                <w:szCs w:val="32"/>
              </w:rPr>
              <w:t>标准名称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  <w:t>标准条目及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  <w:t>内容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  <w:t>理由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32"/>
                <w:szCs w:val="32"/>
              </w:rPr>
              <w:t>建议来源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95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2021-08-31T01:04:41Z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9B95F83C594042EE965909DDAD62EE72</vt:lpwstr>
  </property>
</Properties>
</file>