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0"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w w:val="10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5"/>
          <w:sz w:val="44"/>
          <w:szCs w:val="44"/>
          <w:lang w:eastAsia="zh-CN"/>
        </w:rPr>
        <w:t>关于修</w:t>
      </w:r>
      <w:r>
        <w:rPr>
          <w:rFonts w:hint="eastAsia" w:ascii="方正小标宋简体" w:hAnsi="方正小标宋简体" w:eastAsia="方正小标宋简体" w:cs="方正小标宋简体"/>
          <w:color w:val="auto"/>
          <w:w w:val="105"/>
          <w:sz w:val="44"/>
          <w:szCs w:val="44"/>
          <w:lang w:val="en-US" w:eastAsia="zh-CN"/>
        </w:rPr>
        <w:t>改</w:t>
      </w:r>
      <w:r>
        <w:rPr>
          <w:rFonts w:hint="eastAsia" w:ascii="方正小标宋简体" w:hAnsi="方正小标宋简体" w:eastAsia="方正小标宋简体" w:cs="方正小标宋简体"/>
          <w:color w:val="auto"/>
          <w:w w:val="105"/>
          <w:sz w:val="44"/>
          <w:szCs w:val="44"/>
          <w:lang w:eastAsia="zh-CN"/>
        </w:rPr>
        <w:t>全国疑似预防接种异常反应</w:t>
      </w:r>
    </w:p>
    <w:p>
      <w:pPr>
        <w:adjustRightInd w:val="0"/>
        <w:snapToGrid w:val="0"/>
        <w:spacing w:before="0"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w w:val="10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5"/>
          <w:sz w:val="44"/>
          <w:szCs w:val="44"/>
          <w:lang w:eastAsia="zh-CN"/>
        </w:rPr>
        <w:t>监测方案部分内容的通知</w:t>
      </w:r>
    </w:p>
    <w:p>
      <w:pPr>
        <w:pStyle w:val="2"/>
        <w:spacing w:before="101" w:line="240" w:lineRule="auto"/>
        <w:ind w:right="0" w:firstLine="318" w:firstLineChars="1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7"/>
          <w:w w:val="95"/>
          <w:sz w:val="32"/>
          <w:szCs w:val="32"/>
        </w:rPr>
        <w:t>国卫</w:t>
      </w:r>
      <w:r>
        <w:rPr>
          <w:rFonts w:hint="eastAsia" w:ascii="仿宋_GB2312" w:hAnsi="仿宋_GB2312" w:eastAsia="仿宋_GB2312" w:cs="仿宋_GB2312"/>
          <w:color w:val="auto"/>
          <w:spacing w:val="14"/>
          <w:w w:val="95"/>
          <w:sz w:val="32"/>
          <w:szCs w:val="32"/>
        </w:rPr>
        <w:t>办疾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控函</w:t>
      </w:r>
      <w:r>
        <w:rPr>
          <w:rFonts w:hint="eastAsia" w:ascii="仿宋_GB2312" w:hAnsi="仿宋_GB2312" w:eastAsia="仿宋_GB2312" w:cs="仿宋_GB2312"/>
          <w:color w:val="auto"/>
          <w:spacing w:val="9"/>
          <w:w w:val="95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auto"/>
          <w:spacing w:val="4"/>
          <w:w w:val="95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pacing w:val="11"/>
          <w:w w:val="95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208号</w:t>
      </w:r>
    </w:p>
    <w:p>
      <w:pPr>
        <w:adjustRightInd w:val="0"/>
        <w:snapToGrid w:val="0"/>
        <w:spacing w:before="0" w:line="240" w:lineRule="auto"/>
        <w:jc w:val="center"/>
        <w:rPr>
          <w:rFonts w:hint="eastAsia" w:ascii="方正小标宋_GBK" w:hAnsi="方正小标宋_GBK" w:eastAsia="方正小标宋_GBK" w:cs="方正小标宋_GBK"/>
          <w:color w:val="auto"/>
          <w:w w:val="105"/>
          <w:sz w:val="32"/>
          <w:szCs w:val="32"/>
          <w:lang w:eastAsia="zh-CN"/>
        </w:rPr>
      </w:pPr>
    </w:p>
    <w:p>
      <w:pPr>
        <w:pStyle w:val="2"/>
        <w:adjustRightInd w:val="0"/>
        <w:snapToGrid w:val="0"/>
        <w:spacing w:before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自治区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直辖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卫生健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康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、药监局，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新疆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兵团卫生健康委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、药监局，中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eastAsia="zh-CN"/>
        </w:rPr>
        <w:t>疾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控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eastAsia="zh-CN"/>
        </w:rPr>
        <w:t>心，国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家药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品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良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反应监测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心：</w:t>
      </w:r>
    </w:p>
    <w:p>
      <w:pPr>
        <w:pStyle w:val="2"/>
        <w:adjustRightInd w:val="0"/>
        <w:snapToGrid w:val="0"/>
        <w:spacing w:before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为进一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步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做好疑似预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防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接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种异常反应监测和处置相关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工作，经研究，决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定对《全国疑似预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接种异常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反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应监测方案》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办疾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控发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〔2010〕9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号）作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出如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下修改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。</w:t>
      </w:r>
    </w:p>
    <w:p>
      <w:pPr>
        <w:pStyle w:val="2"/>
        <w:adjustRightInd w:val="0"/>
        <w:snapToGrid w:val="0"/>
        <w:spacing w:before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一、将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第一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段“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为加强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疫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苗使用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的安全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性监测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，根据《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华人民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传染病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治法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民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共和国药品管理法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疫苗流通和预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接种管理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例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突发公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共卫生事件应急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例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法律、法规，参照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世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卫生组织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疫苗不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良反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应监测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指南，制定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本方案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”修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范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接种异常反应监测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工作，根据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华人民共和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传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染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病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治法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民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共和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药品管理法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华人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民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共和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疫苗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管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理法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突发公共卫生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事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件应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急条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法律、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法规，制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”</w:t>
      </w:r>
    </w:p>
    <w:p>
      <w:pPr>
        <w:pStyle w:val="2"/>
        <w:adjustRightInd w:val="0"/>
        <w:snapToGrid w:val="0"/>
        <w:spacing w:before="0" w:line="57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二、将“四、调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查诊断”第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调查第一段“除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确诊断的一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般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反应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单纯发热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接种部位的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红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硬结等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外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的疑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似预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接种异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常反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应均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调查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。”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增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加“省级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、设区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的市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和县级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疾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病预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控制机构应当成立预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接种异常反应调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查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诊断专家组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，负责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接种异常反应调查诊断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调查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诊断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病学、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临床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医学、药学等专家组成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疾病预防控制机构、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药品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良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反应监测机构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人员不进入预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接种异常反应调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查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诊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断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专家组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”</w:t>
      </w:r>
    </w:p>
    <w:p>
      <w:pPr>
        <w:adjustRightInd w:val="0"/>
        <w:snapToGrid w:val="0"/>
        <w:spacing w:before="0" w:line="570" w:lineRule="exact"/>
        <w:ind w:left="0" w:right="0" w:firstLine="647"/>
        <w:jc w:val="both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eastAsia="zh-CN"/>
        </w:rPr>
        <w:t>、将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“五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、处置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原则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条“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接种异常反应造成受种者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死亡、严重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残疾或者器官组织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损伤的，依照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疫苗流通和预防接种管理条例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关规定给予受种者一次性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补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”修改为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实施接种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过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施接种后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出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现受种者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死亡、严重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残疾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器官组织损伤等损害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，属于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异常反应或者不能排除的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，依照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中华人民共和国疫苗管理法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关规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给予受种者补偿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”</w:t>
      </w:r>
    </w:p>
    <w:p>
      <w:pPr>
        <w:adjustRightInd w:val="0"/>
        <w:snapToGrid w:val="0"/>
        <w:spacing w:before="0" w:line="570" w:lineRule="exact"/>
        <w:ind w:left="0" w:right="0" w:firstLine="657"/>
        <w:jc w:val="both"/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四、将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“五、处置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原则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条“因疫苗质量不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合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格给受种者造成损害的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，以及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接种单位违反预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接种工作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规范、免疫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程序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疫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苗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使用指导原则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、接种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方案给受种者造成损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害的，依照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中华人民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药品管理法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》及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医疗事故处理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例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有关规定处理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。”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修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因疫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苗质量不合格给受种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者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造成损害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的，以及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接种单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违反预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接种工作规范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、免疫程序、疫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苗使用指导原则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、接种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方案给受种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者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造成损害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的，依照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中华人民共和国药品管理法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中华人民共和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疫苗管理法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》及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医疗事故处理条例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关规定处理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”</w:t>
      </w:r>
    </w:p>
    <w:p>
      <w:pPr>
        <w:adjustRightInd w:val="0"/>
        <w:snapToGrid w:val="0"/>
        <w:spacing w:before="0" w:line="570" w:lineRule="exact"/>
        <w:ind w:left="0" w:right="0" w:firstLine="657"/>
        <w:jc w:val="both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五、将《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全国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疑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似预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接种异常反应监测方案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件4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名词解释”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中“严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重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疑似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防接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种异常反应”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的定义“疑似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防接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种异常反应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有下列情形之一者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：导致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死亡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；危及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生命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；导致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永久或显著的伤残或器官功能损伤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严重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疑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似预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接种异常反应包括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过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敏性休克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、过敏性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喉头水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肿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、过敏性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紫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癜、血小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减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少性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紫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癜、局部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过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敏坏死反应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Arth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us反应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、热性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惊厥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、癫痫、臂丛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神经炎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、多发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性神经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炎、格林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巴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利综合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征、脑病、脑炎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和脑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膜炎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、疫苗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相关麻痹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型脊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髓灰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质炎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、卡介苗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骨髓炎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、全身播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散性卡介苗感染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、晕厥、中毒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性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休克综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合征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eastAsia="zh-CN"/>
        </w:rPr>
        <w:t>、全身化脓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性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感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染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”修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有下列情形之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者为严重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疑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似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接种异常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反应：死亡、危及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生命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、需要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住院治疗或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延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长已在住院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治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疗的时间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、持续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或显著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的人体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  <w:lang w:eastAsia="zh-CN"/>
        </w:rPr>
        <w:t>伤残/失能、先天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性异常或者出生缺陷（怀疑受种者母亲孕期接种疫苗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所致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，以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及如不干预或者治疗可能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出现上述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所列情况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的情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形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。一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般需要采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住院治疗等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措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包括需要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临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床治疗的重度疾病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如怀疑与疫苗相关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过敏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  <w:lang w:eastAsia="zh-CN"/>
        </w:rPr>
        <w:t>休克、喉头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肿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、紫癜、局部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过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敏坏死反应（A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rth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us反应）等变态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反应性疾病，臂丛神经炎、古兰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巴雷综合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征、脑病、脑炎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等神经系统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疾病，疫苗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株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病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原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体感染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疫苗相关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麻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痹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型脊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髓灰质炎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、卡介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苗骨髓炎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、全身播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散性卡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介苗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感染等特定疾病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、怀疑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偶合发生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或者与接种差错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、疫苗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质量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问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题等相关的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毒性休克综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征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、全身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脓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性感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  <w:lang w:eastAsia="zh-CN"/>
        </w:rPr>
        <w:t>染等疾病，以及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这些疾病导致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残疾和死亡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2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w w:val="100"/>
          <w:kern w:val="21"/>
          <w:sz w:val="32"/>
          <w:szCs w:val="32"/>
        </w:rPr>
        <w:t>”</w:t>
      </w:r>
    </w:p>
    <w:p>
      <w:pPr>
        <w:pStyle w:val="2"/>
        <w:adjustRightInd w:val="0"/>
        <w:snapToGrid w:val="0"/>
        <w:spacing w:before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本通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布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之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</w:rPr>
        <w:t>日起施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行。</w:t>
      </w:r>
    </w:p>
    <w:p>
      <w:pPr>
        <w:spacing w:before="0"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before="0"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before="0" w:line="24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国家卫生健康委办公厅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国家药监局综合司</w:t>
      </w:r>
    </w:p>
    <w:p>
      <w:pPr>
        <w:spacing w:before="0" w:line="240" w:lineRule="auto"/>
        <w:ind w:firstLine="4800" w:firstLineChars="15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2022年6月10日</w:t>
      </w:r>
    </w:p>
    <w:p>
      <w:pPr>
        <w:pStyle w:val="2"/>
        <w:spacing w:before="0" w:line="240" w:lineRule="auto"/>
        <w:ind w:left="765" w:right="0"/>
        <w:jc w:val="left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</w:pPr>
    </w:p>
    <w:p>
      <w:pPr>
        <w:pStyle w:val="2"/>
        <w:spacing w:before="0" w:line="240" w:lineRule="auto"/>
        <w:ind w:left="765" w:right="0"/>
        <w:jc w:val="left"/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</w:t>
      </w:r>
      <w:r>
        <w:rPr>
          <w:rFonts w:hint="eastAsia" w:ascii="仿宋_GB2312" w:hAnsi="仿宋_GB2312" w:eastAsia="仿宋_GB2312" w:cs="仿宋_GB2312"/>
          <w:color w:val="auto"/>
          <w:spacing w:val="25"/>
          <w:sz w:val="32"/>
          <w:szCs w:val="32"/>
        </w:rPr>
        <w:t>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color w:val="auto"/>
          <w:spacing w:val="31"/>
          <w:sz w:val="32"/>
          <w:szCs w:val="32"/>
        </w:rPr>
        <w:t>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形式</w:t>
      </w:r>
      <w:r>
        <w:rPr>
          <w:rFonts w:hint="eastAsia" w:ascii="仿宋_GB2312" w:hAnsi="仿宋_GB2312" w:eastAsia="仿宋_GB2312" w:cs="仿宋_GB2312"/>
          <w:color w:val="auto"/>
          <w:spacing w:val="-176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动公开）</w:t>
      </w:r>
      <w:bookmarkStart w:id="0" w:name="_GoBack"/>
      <w:bookmarkEnd w:id="0"/>
    </w:p>
    <w:sectPr>
      <w:footerReference r:id="rId5" w:type="default"/>
      <w:pgSz w:w="11906" w:h="16838"/>
      <w:pgMar w:top="1814" w:right="1474" w:bottom="1701" w:left="1587" w:header="851" w:footer="1247" w:gutter="0"/>
      <w:pgNumType w:fmt="decimal" w:start="3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14CC2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3"/>
      <w:ind w:left="112"/>
    </w:pPr>
    <w:rPr>
      <w:rFonts w:ascii="宋体" w:hAnsi="宋体" w:eastAsia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2022-08-01T01:49:25Z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8CC9DEFD906E499EB47D04F7626E0CAB</vt:lpwstr>
  </property>
</Properties>
</file>