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仿宋_GB2312" w:hAnsi="宋体" w:eastAsia="仿宋_GB2312" w:cs="宋体"/>
          <w:color w:val="000000"/>
          <w:kern w:val="0"/>
          <w:sz w:val="32"/>
          <w:szCs w:val="32"/>
        </w:rPr>
      </w:pPr>
      <w:bookmarkStart w:id="0" w:name="_GoBack"/>
      <w:r>
        <w:rPr>
          <w:rFonts w:hint="eastAsia" w:ascii="宋体" w:hAnsi="宋体" w:cs="宋体"/>
          <w:b/>
          <w:bCs/>
          <w:color w:val="000000"/>
          <w:kern w:val="0"/>
          <w:sz w:val="44"/>
        </w:rPr>
        <w:t>福建省慢性病综合防控示范区建设管理办法</w:t>
      </w:r>
    </w:p>
    <w:bookmarkEnd w:id="0"/>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br w:type="textWrapping"/>
      </w:r>
      <w:r>
        <w:rPr>
          <w:rFonts w:hint="eastAsia" w:ascii="黑体" w:hAnsi="黑体" w:eastAsia="黑体" w:cs="宋体"/>
          <w:color w:val="000000"/>
          <w:kern w:val="0"/>
          <w:sz w:val="32"/>
          <w:szCs w:val="32"/>
        </w:rPr>
        <w:t>第一章 总则</w:t>
      </w:r>
    </w:p>
    <w:p>
      <w:pPr>
        <w:widowControl/>
        <w:rPr>
          <w:rFonts w:ascii="仿宋" w:hAnsi="仿宋" w:eastAsia="仿宋" w:cs="宋体"/>
          <w:color w:val="000000"/>
          <w:kern w:val="0"/>
          <w:sz w:val="32"/>
          <w:szCs w:val="32"/>
        </w:rPr>
      </w:pPr>
      <w:r>
        <w:rPr>
          <w:rFonts w:hint="eastAsia" w:ascii="仿宋_GB2312" w:hAnsi="宋体" w:eastAsia="仿宋_GB2312" w:cs="宋体"/>
          <w:color w:val="000000"/>
          <w:kern w:val="0"/>
          <w:sz w:val="32"/>
          <w:szCs w:val="32"/>
        </w:rPr>
        <w:t>　　</w:t>
      </w:r>
      <w:r>
        <w:rPr>
          <w:rFonts w:hint="eastAsia" w:ascii="仿宋" w:hAnsi="仿宋" w:eastAsia="仿宋" w:cs="宋体"/>
          <w:b/>
          <w:bCs/>
          <w:color w:val="000000"/>
          <w:kern w:val="0"/>
          <w:sz w:val="32"/>
        </w:rPr>
        <w:t>第一条</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lang w:val="en-US" w:eastAsia="zh-CN"/>
        </w:rPr>
        <w:t>为贯彻落实省委、省政府印发的《“健康福建2030年”行动规划》和省政府办公厅印发《福建省防治慢性病中长期规划（2017-2025）》，</w:t>
      </w:r>
      <w:r>
        <w:rPr>
          <w:rFonts w:hint="eastAsia" w:ascii="仿宋" w:hAnsi="仿宋" w:eastAsia="仿宋" w:cs="宋体"/>
          <w:color w:val="000000"/>
          <w:kern w:val="0"/>
          <w:sz w:val="32"/>
          <w:szCs w:val="32"/>
        </w:rPr>
        <w:t>加强慢性病综合防控，全面做好</w:t>
      </w:r>
      <w:r>
        <w:rPr>
          <w:rFonts w:hint="eastAsia" w:ascii="仿宋" w:hAnsi="仿宋" w:eastAsia="仿宋" w:cs="宋体"/>
          <w:color w:val="000000"/>
          <w:kern w:val="0"/>
          <w:sz w:val="32"/>
          <w:szCs w:val="32"/>
          <w:lang w:val="en-US" w:eastAsia="zh-CN"/>
        </w:rPr>
        <w:t>我省</w:t>
      </w:r>
      <w:r>
        <w:rPr>
          <w:rFonts w:hint="eastAsia" w:ascii="仿宋" w:hAnsi="仿宋" w:eastAsia="仿宋" w:cs="宋体"/>
          <w:color w:val="000000"/>
          <w:kern w:val="0"/>
          <w:sz w:val="32"/>
          <w:szCs w:val="32"/>
        </w:rPr>
        <w:t>慢性病综合防控示范区（以下简称示范区）建设工作，制定本办法。</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w:t>
      </w:r>
      <w:r>
        <w:rPr>
          <w:rFonts w:hint="eastAsia" w:ascii="仿宋" w:hAnsi="仿宋" w:eastAsia="仿宋" w:cs="宋体"/>
          <w:b/>
          <w:bCs/>
          <w:color w:val="000000"/>
          <w:kern w:val="0"/>
          <w:sz w:val="32"/>
        </w:rPr>
        <w:t>第二条</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t>示范区建设的目标是坚持以人民健康为中心，强化政府责任，创造和维护健康的社会环境，培育适合不同地区特点的慢性病综合防控模式，总结推广经验，引领带动全省慢性病综合防控工作，降低因慢性病造成的过早死亡，有效控制慢性病疾病负担增长，推进健康福建建设。</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w:t>
      </w:r>
      <w:r>
        <w:rPr>
          <w:rFonts w:hint="eastAsia" w:ascii="仿宋" w:hAnsi="仿宋" w:eastAsia="仿宋" w:cs="宋体"/>
          <w:b/>
          <w:bCs/>
          <w:color w:val="000000"/>
          <w:kern w:val="0"/>
          <w:sz w:val="32"/>
        </w:rPr>
        <w:t>第三条</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t>示范区建设的基本原则是坚持政府主导、部门协作、动员社会、全民参与的慢性病综合防控工作机制。坚持预防为主、防治结合、中西医并重，发挥医疗卫生服务体系的整体功能，提供全人群生命全周期的慢性病防治管理服务，推进疾病治疗向健康管理转变。坚持突出特色创新，促进均衡发展，整体带动区域慢性病防治管理水平提升。</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w:t>
      </w:r>
      <w:r>
        <w:rPr>
          <w:rFonts w:hint="eastAsia" w:ascii="仿宋" w:hAnsi="仿宋" w:eastAsia="仿宋" w:cs="宋体"/>
          <w:b/>
          <w:bCs/>
          <w:color w:val="000000"/>
          <w:kern w:val="0"/>
          <w:sz w:val="32"/>
        </w:rPr>
        <w:t>第四条</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t>本办法适用于县级和城市区级行政区划，包括行政独立、参照县级行政区划管理的区域。</w:t>
      </w:r>
    </w:p>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p>
      <w:pPr>
        <w:widowControl/>
        <w:jc w:val="center"/>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第二章</w:t>
      </w:r>
      <w:r>
        <w:rPr>
          <w:rFonts w:hint="eastAsia" w:ascii="宋体" w:hAnsi="宋体" w:cs="宋体"/>
          <w:color w:val="000000"/>
          <w:kern w:val="0"/>
          <w:sz w:val="32"/>
          <w:szCs w:val="32"/>
        </w:rPr>
        <w:t> </w:t>
      </w:r>
      <w:r>
        <w:rPr>
          <w:rFonts w:hint="eastAsia" w:ascii="黑体" w:hAnsi="黑体" w:eastAsia="黑体" w:cs="黑体"/>
          <w:color w:val="000000"/>
          <w:kern w:val="0"/>
          <w:sz w:val="32"/>
          <w:szCs w:val="32"/>
        </w:rPr>
        <w:t xml:space="preserve"> </w:t>
      </w:r>
      <w:r>
        <w:rPr>
          <w:rFonts w:hint="eastAsia" w:ascii="黑体" w:hAnsi="黑体" w:eastAsia="黑体" w:cs="宋体"/>
          <w:color w:val="000000"/>
          <w:kern w:val="0"/>
          <w:sz w:val="32"/>
          <w:szCs w:val="32"/>
        </w:rPr>
        <w:t>具体目标</w:t>
      </w:r>
    </w:p>
    <w:p>
      <w:pPr>
        <w:widowControl/>
        <w:rPr>
          <w:rFonts w:ascii="仿宋" w:hAnsi="仿宋" w:eastAsia="仿宋" w:cs="宋体"/>
          <w:color w:val="000000"/>
          <w:kern w:val="0"/>
          <w:sz w:val="32"/>
          <w:szCs w:val="32"/>
        </w:rPr>
      </w:pPr>
      <w:r>
        <w:rPr>
          <w:rFonts w:hint="eastAsia" w:ascii="仿宋_GB2312" w:hAnsi="宋体" w:eastAsia="仿宋_GB2312" w:cs="宋体"/>
          <w:color w:val="000000"/>
          <w:kern w:val="0"/>
          <w:sz w:val="32"/>
          <w:szCs w:val="32"/>
        </w:rPr>
        <w:t>　　</w:t>
      </w:r>
      <w:r>
        <w:rPr>
          <w:rFonts w:hint="eastAsia" w:ascii="仿宋" w:hAnsi="仿宋" w:eastAsia="仿宋" w:cs="宋体"/>
          <w:b/>
          <w:color w:val="000000"/>
          <w:kern w:val="0"/>
          <w:sz w:val="32"/>
          <w:szCs w:val="32"/>
        </w:rPr>
        <w:t>第五条</w:t>
      </w:r>
      <w:r>
        <w:rPr>
          <w:rFonts w:hint="eastAsia" w:ascii="仿宋" w:hAnsi="宋体" w:eastAsia="仿宋" w:cs="宋体"/>
          <w:color w:val="000000"/>
          <w:kern w:val="0"/>
          <w:sz w:val="32"/>
          <w:szCs w:val="32"/>
        </w:rPr>
        <w:t> </w:t>
      </w:r>
      <w:r>
        <w:rPr>
          <w:rFonts w:hint="eastAsia" w:ascii="仿宋" w:hAnsi="仿宋" w:eastAsia="仿宋" w:cs="宋体"/>
          <w:color w:val="000000"/>
          <w:kern w:val="0"/>
          <w:sz w:val="32"/>
          <w:szCs w:val="32"/>
        </w:rPr>
        <w:t>政策完善。健全完善政府主导的慢性病综合防控协调机制，多部门协同配合，统筹各方资源，加大政策保障，在政策制定、组织管理、队伍建设、经费支持等方面给予充分支持，在环境治理、烟草控制、健身场所设施建设等慢性病危险因素控制方面采取有效行动。</w:t>
      </w:r>
      <w:r>
        <w:rPr>
          <w:rFonts w:hint="eastAsia" w:ascii="仿宋" w:hAnsi="宋体" w:eastAsia="仿宋" w:cs="宋体"/>
          <w:color w:val="000000"/>
          <w:kern w:val="0"/>
          <w:sz w:val="32"/>
          <w:szCs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w:t>
      </w:r>
      <w:r>
        <w:rPr>
          <w:rFonts w:hint="eastAsia" w:ascii="仿宋" w:hAnsi="仿宋" w:eastAsia="仿宋" w:cs="宋体"/>
          <w:b/>
          <w:color w:val="000000"/>
          <w:kern w:val="0"/>
          <w:sz w:val="32"/>
          <w:szCs w:val="32"/>
        </w:rPr>
        <w:t>第六条</w:t>
      </w:r>
      <w:r>
        <w:rPr>
          <w:rFonts w:hint="eastAsia" w:ascii="仿宋" w:hAnsi="宋体" w:eastAsia="仿宋" w:cs="宋体"/>
          <w:color w:val="000000"/>
          <w:kern w:val="0"/>
          <w:sz w:val="32"/>
          <w:szCs w:val="32"/>
        </w:rPr>
        <w:t> </w:t>
      </w:r>
      <w:r>
        <w:rPr>
          <w:rFonts w:hint="eastAsia" w:ascii="仿宋" w:hAnsi="仿宋" w:eastAsia="仿宋" w:cs="宋体"/>
          <w:color w:val="000000"/>
          <w:kern w:val="0"/>
          <w:sz w:val="32"/>
          <w:szCs w:val="32"/>
        </w:rPr>
        <w:t>环境支持。示范区建设与卫生城市、健康城市、文明城市建设等紧密结合，建设健康生产生活环境，优化人居环境。加强公共服务设施建设，完善文化、科教、休闲、健身等功能，向家庭和个人就近提供生理、心理和社会等服务，构建全方位健康支持性环境。</w:t>
      </w:r>
      <w:r>
        <w:rPr>
          <w:rFonts w:hint="eastAsia" w:ascii="仿宋" w:hAnsi="宋体" w:eastAsia="仿宋" w:cs="宋体"/>
          <w:color w:val="000000"/>
          <w:kern w:val="0"/>
          <w:sz w:val="32"/>
          <w:szCs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w:t>
      </w:r>
      <w:r>
        <w:rPr>
          <w:rFonts w:hint="eastAsia" w:ascii="仿宋" w:hAnsi="仿宋" w:eastAsia="仿宋" w:cs="宋体"/>
          <w:b/>
          <w:color w:val="000000"/>
          <w:kern w:val="0"/>
          <w:sz w:val="32"/>
          <w:szCs w:val="32"/>
        </w:rPr>
        <w:t>第七条</w:t>
      </w:r>
      <w:r>
        <w:rPr>
          <w:rFonts w:hint="eastAsia" w:ascii="仿宋" w:hAnsi="宋体" w:eastAsia="仿宋" w:cs="宋体"/>
          <w:color w:val="000000"/>
          <w:kern w:val="0"/>
          <w:sz w:val="32"/>
          <w:szCs w:val="32"/>
        </w:rPr>
        <w:t> </w:t>
      </w:r>
      <w:r>
        <w:rPr>
          <w:rFonts w:hint="eastAsia" w:ascii="仿宋" w:hAnsi="仿宋" w:eastAsia="仿宋" w:cs="宋体"/>
          <w:color w:val="000000"/>
          <w:kern w:val="0"/>
          <w:sz w:val="32"/>
          <w:szCs w:val="32"/>
        </w:rPr>
        <w:t>体系整合。构建与居民健康需求相匹配、体系完整、分工协作、优势互补、上下联动的整合型慢性病综合防控体系，积极打造专业公共卫生机构、二级及以上医院和基层医疗卫生机构“三位一体”的慢性病防控机制，建立信息共享、互联互通机制，推进慢性病防、治、管整体融合发展。</w:t>
      </w:r>
      <w:r>
        <w:rPr>
          <w:rFonts w:hint="eastAsia" w:ascii="仿宋" w:hAnsi="宋体" w:eastAsia="仿宋" w:cs="宋体"/>
          <w:color w:val="000000"/>
          <w:kern w:val="0"/>
          <w:sz w:val="32"/>
          <w:szCs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w:t>
      </w:r>
      <w:r>
        <w:rPr>
          <w:rFonts w:hint="eastAsia" w:ascii="仿宋" w:hAnsi="仿宋" w:eastAsia="仿宋" w:cs="宋体"/>
          <w:b/>
          <w:color w:val="000000"/>
          <w:kern w:val="0"/>
          <w:sz w:val="32"/>
          <w:szCs w:val="32"/>
        </w:rPr>
        <w:t>第八条</w:t>
      </w:r>
      <w:r>
        <w:rPr>
          <w:rFonts w:hint="eastAsia" w:ascii="仿宋" w:hAnsi="宋体" w:eastAsia="仿宋" w:cs="宋体"/>
          <w:color w:val="000000"/>
          <w:kern w:val="0"/>
          <w:sz w:val="32"/>
          <w:szCs w:val="32"/>
        </w:rPr>
        <w:t> </w:t>
      </w:r>
      <w:r>
        <w:rPr>
          <w:rFonts w:hint="eastAsia" w:ascii="仿宋" w:hAnsi="仿宋" w:eastAsia="仿宋" w:cs="宋体"/>
          <w:color w:val="000000"/>
          <w:kern w:val="0"/>
          <w:sz w:val="32"/>
          <w:szCs w:val="32"/>
        </w:rPr>
        <w:t>管理先进。提供面向全人群、覆盖生命全周期的慢性病预防、筛查、诊断、治疗、康复全程管理服务，开展健康咨询、风险评估和干预指导等个性化健康干预。以癌症、高血压、糖尿病等为突破口，加强慢性病综合防控，强化早期筛查和早期发现，推进早诊早治工作。提高基本公共卫生服务均等化水平，推进家庭医生签约服务，强化分级诊疗制度建设。</w:t>
      </w:r>
      <w:r>
        <w:rPr>
          <w:rFonts w:hint="eastAsia" w:ascii="仿宋" w:hAnsi="宋体" w:eastAsia="仿宋" w:cs="宋体"/>
          <w:color w:val="000000"/>
          <w:kern w:val="0"/>
          <w:sz w:val="32"/>
          <w:szCs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w:t>
      </w:r>
      <w:r>
        <w:rPr>
          <w:rFonts w:hint="eastAsia" w:ascii="仿宋" w:hAnsi="仿宋" w:eastAsia="仿宋" w:cs="宋体"/>
          <w:b/>
          <w:color w:val="000000"/>
          <w:kern w:val="0"/>
          <w:sz w:val="32"/>
          <w:szCs w:val="32"/>
        </w:rPr>
        <w:t>第九条</w:t>
      </w:r>
      <w:r>
        <w:rPr>
          <w:rFonts w:hint="eastAsia" w:ascii="仿宋" w:hAnsi="宋体" w:eastAsia="仿宋" w:cs="宋体"/>
          <w:color w:val="000000"/>
          <w:kern w:val="0"/>
          <w:sz w:val="32"/>
          <w:szCs w:val="32"/>
        </w:rPr>
        <w:t> </w:t>
      </w:r>
      <w:r>
        <w:rPr>
          <w:rFonts w:hint="eastAsia" w:ascii="仿宋" w:hAnsi="仿宋" w:eastAsia="仿宋" w:cs="宋体"/>
          <w:color w:val="000000"/>
          <w:kern w:val="0"/>
          <w:sz w:val="32"/>
          <w:szCs w:val="32"/>
        </w:rPr>
        <w:t>全民参与。教育引导人民群众树立正确健康观，用群众通俗易懂的方法普及健康知识和技能，强化个人健康责任意识，提高群众健康素养。依托全民健身运动、全民健康生活方式行动等载体，促进群众形成健康的行为和生活方式。充分调动社会力量的积极性和创造性，不断满足群众多层次、多样化的健康需求。</w:t>
      </w:r>
    </w:p>
    <w:p>
      <w:pPr>
        <w:widowControl/>
        <w:rPr>
          <w:rFonts w:ascii="方正仿宋简体" w:hAnsi="宋体" w:eastAsia="方正仿宋简体" w:cs="宋体"/>
          <w:color w:val="000000"/>
          <w:kern w:val="0"/>
          <w:sz w:val="32"/>
          <w:szCs w:val="32"/>
        </w:rPr>
      </w:pPr>
      <w:r>
        <w:rPr>
          <w:rFonts w:hint="eastAsia" w:ascii="方正仿宋简体" w:hAnsi="宋体" w:eastAsia="方正仿宋简体" w:cs="宋体"/>
          <w:color w:val="000000"/>
          <w:kern w:val="0"/>
          <w:sz w:val="32"/>
          <w:szCs w:val="32"/>
        </w:rPr>
        <w:t> </w:t>
      </w:r>
    </w:p>
    <w:p>
      <w:pPr>
        <w:widowControl/>
        <w:jc w:val="center"/>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第三章</w:t>
      </w:r>
      <w:r>
        <w:rPr>
          <w:rFonts w:hint="eastAsia" w:ascii="宋体" w:hAnsi="宋体" w:cs="宋体"/>
          <w:color w:val="000000"/>
          <w:kern w:val="0"/>
          <w:sz w:val="32"/>
          <w:szCs w:val="32"/>
        </w:rPr>
        <w:t> </w:t>
      </w:r>
      <w:r>
        <w:rPr>
          <w:rFonts w:hint="eastAsia" w:ascii="黑体" w:hAnsi="黑体" w:eastAsia="黑体" w:cs="黑体"/>
          <w:color w:val="000000"/>
          <w:kern w:val="0"/>
          <w:sz w:val="32"/>
          <w:szCs w:val="32"/>
        </w:rPr>
        <w:t xml:space="preserve"> </w:t>
      </w:r>
      <w:r>
        <w:rPr>
          <w:rFonts w:hint="eastAsia" w:ascii="黑体" w:hAnsi="黑体" w:eastAsia="黑体" w:cs="宋体"/>
          <w:color w:val="000000"/>
          <w:kern w:val="0"/>
          <w:sz w:val="32"/>
          <w:szCs w:val="32"/>
        </w:rPr>
        <w:t>主要任务</w:t>
      </w:r>
    </w:p>
    <w:p>
      <w:pPr>
        <w:widowControl/>
        <w:rPr>
          <w:rFonts w:ascii="仿宋" w:hAnsi="仿宋" w:eastAsia="仿宋" w:cs="宋体"/>
          <w:color w:val="000000"/>
          <w:kern w:val="0"/>
          <w:sz w:val="32"/>
          <w:szCs w:val="32"/>
        </w:rPr>
      </w:pPr>
      <w:r>
        <w:rPr>
          <w:rFonts w:hint="eastAsia" w:ascii="仿宋_GB2312" w:hAnsi="宋体" w:eastAsia="仿宋_GB2312" w:cs="宋体"/>
          <w:color w:val="000000"/>
          <w:kern w:val="0"/>
          <w:sz w:val="32"/>
          <w:szCs w:val="32"/>
        </w:rPr>
        <w:t>　</w:t>
      </w:r>
      <w:r>
        <w:rPr>
          <w:rFonts w:hint="eastAsia" w:ascii="仿宋" w:hAnsi="仿宋" w:eastAsia="仿宋" w:cs="宋体"/>
          <w:color w:val="000000"/>
          <w:kern w:val="0"/>
          <w:sz w:val="32"/>
          <w:szCs w:val="32"/>
        </w:rPr>
        <w:t>　</w:t>
      </w:r>
      <w:r>
        <w:rPr>
          <w:rFonts w:hint="eastAsia" w:ascii="仿宋" w:hAnsi="仿宋" w:eastAsia="仿宋" w:cs="宋体"/>
          <w:b/>
          <w:color w:val="000000"/>
          <w:kern w:val="0"/>
          <w:sz w:val="32"/>
          <w:szCs w:val="32"/>
        </w:rPr>
        <w:t>第十条</w:t>
      </w:r>
      <w:r>
        <w:rPr>
          <w:rFonts w:hint="eastAsia" w:ascii="仿宋" w:hAnsi="宋体" w:eastAsia="仿宋" w:cs="宋体"/>
          <w:color w:val="000000"/>
          <w:kern w:val="0"/>
          <w:sz w:val="32"/>
          <w:szCs w:val="32"/>
        </w:rPr>
        <w:t> </w:t>
      </w:r>
      <w:r>
        <w:rPr>
          <w:rFonts w:hint="eastAsia" w:ascii="仿宋" w:hAnsi="仿宋" w:eastAsia="仿宋" w:cs="宋体"/>
          <w:color w:val="000000"/>
          <w:kern w:val="0"/>
          <w:sz w:val="32"/>
          <w:szCs w:val="32"/>
        </w:rPr>
        <w:t>辖区政府成立示范区建设领导小组，主要领导担任组长，下设办公室,慢性病防控工作列入议事日程，建立协作联动、绩效管理和联络员会议制度，定期交流信息，掌握工作进展，研究解决问题。多部门对示范区建设工作开展联合督导，强化慢性病综合防控效果。</w:t>
      </w:r>
      <w:r>
        <w:rPr>
          <w:rFonts w:hint="eastAsia" w:ascii="仿宋" w:hAnsi="宋体" w:eastAsia="仿宋" w:cs="宋体"/>
          <w:color w:val="000000"/>
          <w:kern w:val="0"/>
          <w:sz w:val="32"/>
          <w:szCs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w:t>
      </w:r>
      <w:r>
        <w:rPr>
          <w:rFonts w:hint="eastAsia" w:ascii="仿宋" w:hAnsi="仿宋" w:eastAsia="仿宋" w:cs="宋体"/>
          <w:b/>
          <w:color w:val="000000"/>
          <w:kern w:val="0"/>
          <w:sz w:val="32"/>
          <w:szCs w:val="32"/>
        </w:rPr>
        <w:t>第十一条</w:t>
      </w:r>
      <w:r>
        <w:rPr>
          <w:rFonts w:hint="eastAsia" w:ascii="仿宋" w:hAnsi="宋体" w:eastAsia="仿宋" w:cs="宋体"/>
          <w:color w:val="000000"/>
          <w:kern w:val="0"/>
          <w:sz w:val="32"/>
          <w:szCs w:val="32"/>
        </w:rPr>
        <w:t> </w:t>
      </w:r>
      <w:r>
        <w:rPr>
          <w:rFonts w:hint="eastAsia" w:ascii="仿宋" w:hAnsi="仿宋" w:eastAsia="仿宋" w:cs="宋体"/>
          <w:color w:val="000000"/>
          <w:kern w:val="0"/>
          <w:sz w:val="32"/>
          <w:szCs w:val="32"/>
        </w:rPr>
        <w:t>深入开展全民健康生活方式行动，建设健康家庭、社区、单位、学校、食堂/酒店、主题公园、步道、小屋等支持性环境。乡镇卫生院、社区卫生服务中心设有自助式健康检测点。</w:t>
      </w:r>
      <w:r>
        <w:rPr>
          <w:rFonts w:hint="eastAsia" w:ascii="仿宋" w:hAnsi="宋体" w:eastAsia="仿宋" w:cs="宋体"/>
          <w:color w:val="000000"/>
          <w:kern w:val="0"/>
          <w:sz w:val="32"/>
          <w:szCs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w:t>
      </w:r>
      <w:r>
        <w:rPr>
          <w:rFonts w:hint="eastAsia" w:ascii="仿宋" w:hAnsi="仿宋" w:eastAsia="仿宋" w:cs="宋体"/>
          <w:b/>
          <w:bCs/>
          <w:color w:val="000000"/>
          <w:kern w:val="0"/>
          <w:sz w:val="32"/>
        </w:rPr>
        <w:t>第十二条</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t>积极开展全民健身活动，推动公共体育设施建设，辖区公共体育场地设施和符合开放条件的企事业单位、学校体育场地设施向社会开放。机关、企事业单位组织开展工间健身、健步走、运动会等活动，在校学生确保每天锻炼一小时。</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w:t>
      </w:r>
      <w:r>
        <w:rPr>
          <w:rFonts w:hint="eastAsia" w:ascii="仿宋" w:hAnsi="仿宋" w:eastAsia="仿宋" w:cs="宋体"/>
          <w:b/>
          <w:bCs/>
          <w:color w:val="000000"/>
          <w:kern w:val="0"/>
          <w:sz w:val="32"/>
        </w:rPr>
        <w:t>第十三条</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t>开展烟草危害控制，辖区无烟草广告，公共场所、工作场所的室内区域全面禁止吸烟。依托专业公共卫生机构和医疗机构开设戒烟咨询热线，提供戒烟门诊等服务，提高戒烟干预能力。</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w:t>
      </w:r>
      <w:r>
        <w:rPr>
          <w:rFonts w:hint="eastAsia" w:ascii="仿宋" w:hAnsi="仿宋" w:eastAsia="仿宋" w:cs="宋体"/>
          <w:b/>
          <w:bCs/>
          <w:color w:val="000000"/>
          <w:kern w:val="0"/>
          <w:sz w:val="32"/>
        </w:rPr>
        <w:t>第十四条</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t>公共场所设有慢性病防控公益宣传广告，传播合理膳食、适量运动、戒烟限酒、心理平衡等健康信息，各社区设有健康教育活动室，向居民提供慢性病防控科普读物。学校、幼儿园普遍开展营养均衡、健康体重、口腔保健、视力保护等健康行为方式教育。</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w:t>
      </w:r>
      <w:r>
        <w:rPr>
          <w:rFonts w:hint="eastAsia" w:ascii="仿宋" w:hAnsi="仿宋" w:eastAsia="仿宋" w:cs="宋体"/>
          <w:b/>
          <w:bCs/>
          <w:color w:val="000000"/>
          <w:kern w:val="0"/>
          <w:sz w:val="32"/>
        </w:rPr>
        <w:t>第十五条</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t>建立自我为主、人际互助、社会支持、政府指导的健康管理模式。发挥群众组织在健康教育与健康促进、健康管理和健康服务等方面的积极作用，以增强群众自我保健意识为切入点，培育健康指导员和志愿者，开展社区慢性病自我健康管理。</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w:t>
      </w:r>
      <w:r>
        <w:rPr>
          <w:rFonts w:hint="eastAsia" w:ascii="仿宋" w:hAnsi="仿宋" w:eastAsia="仿宋" w:cs="宋体"/>
          <w:b/>
          <w:bCs/>
          <w:color w:val="000000"/>
          <w:kern w:val="0"/>
          <w:sz w:val="32"/>
        </w:rPr>
        <w:t>第十六条</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t>辖区建立规范的学生、老年人等重点人群健康体检制度。机关企事业单位定期组织职工体检，结合体检结果，依托基层医疗卫生机构对职工开展慢性病预防、风险评估、跟踪随访、干预指导为一体的健康管理服务。</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w:t>
      </w:r>
      <w:r>
        <w:rPr>
          <w:rFonts w:hint="eastAsia" w:ascii="仿宋" w:hAnsi="仿宋" w:eastAsia="仿宋" w:cs="宋体"/>
          <w:b/>
          <w:bCs/>
          <w:color w:val="000000"/>
          <w:kern w:val="0"/>
          <w:sz w:val="32"/>
        </w:rPr>
        <w:t>第十七条</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t>辖区各级各类医疗机构全面实施35岁以上人群首诊测血压，发现患者及时纳入基本公共卫生服务管理，对高危人群提供干预指导。社区卫生服务中心和乡镇卫生院提供血糖、血脂、简易肺功能测定和大便隐血检测等服务。</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w:t>
      </w:r>
      <w:r>
        <w:rPr>
          <w:rFonts w:hint="eastAsia" w:ascii="仿宋" w:hAnsi="仿宋" w:eastAsia="仿宋" w:cs="宋体"/>
          <w:b/>
          <w:bCs/>
          <w:color w:val="000000"/>
          <w:kern w:val="0"/>
          <w:sz w:val="32"/>
        </w:rPr>
        <w:t>第十八条</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t>辖区根据区域慢性病主要负担情况，应用推广成熟的适宜技术，开展心脑血管疾病、重点癌症、糖尿病、慢性阻塞性肺病等重大慢性病的筛查和早期诊断。针对儿童等口腔疾病高风险人群，推广窝沟封闭、局部用氟等口腔预防适宜技术。</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w:t>
      </w:r>
      <w:r>
        <w:rPr>
          <w:rFonts w:hint="eastAsia" w:ascii="仿宋" w:hAnsi="仿宋" w:eastAsia="仿宋" w:cs="宋体"/>
          <w:b/>
          <w:bCs/>
          <w:color w:val="000000"/>
          <w:kern w:val="0"/>
          <w:sz w:val="32"/>
        </w:rPr>
        <w:t>第十九条</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t>开展基层首诊、双向转诊、急慢分治、上下联动的慢性病分级诊疗服务。推进家庭医生签约服务，由二级以上医院医师与基层医疗卫生机构医务人员组成签约医生团队，负责提供约定的基本医疗、公共卫生和健康管理服务，辖区签约服务覆盖率高于全省平均水平。</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w:t>
      </w:r>
      <w:r>
        <w:rPr>
          <w:rFonts w:hint="eastAsia" w:ascii="仿宋" w:hAnsi="仿宋" w:eastAsia="仿宋" w:cs="宋体"/>
          <w:b/>
          <w:bCs/>
          <w:color w:val="000000"/>
          <w:kern w:val="0"/>
          <w:sz w:val="32"/>
        </w:rPr>
        <w:t>第二十条</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t>建立区域医疗卫生信息平台，实现专业公共卫生机构、二级及以上医院和基层医疗卫生机构之间公共卫生服务、诊疗信息互联互通，推动电子健康档案和电子病历的连续记录和信息共享。应用互联网+、健康大数据为签约服务的慢性病患者提供便捷、高效的健康管理和诊疗服务。</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w:t>
      </w:r>
      <w:r>
        <w:rPr>
          <w:rFonts w:hint="eastAsia" w:ascii="仿宋" w:hAnsi="仿宋" w:eastAsia="仿宋" w:cs="宋体"/>
          <w:b/>
          <w:bCs/>
          <w:color w:val="000000"/>
          <w:kern w:val="0"/>
          <w:sz w:val="32"/>
        </w:rPr>
        <w:t>第二十一条</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t>中医药特色优势得到发挥。在社区卫生服务中心、乡镇卫生院建有中医综合服务区，传播中医药养生保健知识，加强中医适宜技术推广，发挥中医药在慢性病预防、保健、诊疗、康复中的作用。</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w:t>
      </w:r>
      <w:r>
        <w:rPr>
          <w:rFonts w:hint="eastAsia" w:ascii="仿宋" w:hAnsi="仿宋" w:eastAsia="仿宋" w:cs="宋体"/>
          <w:b/>
          <w:bCs/>
          <w:color w:val="000000"/>
          <w:kern w:val="0"/>
          <w:sz w:val="32"/>
        </w:rPr>
        <w:t>第二十二条</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t>做好基本医疗保险、城乡居民大病保险和医疗救助重大疾病保障的衔接，提高签约患者的医疗保障水平和残疾人、流动人口、低收入等人群医疗救助水平。基层医疗卫生机构优先配备使用基本药物，按省级卫生计生行政部门规定和要求，从医保药品报销目录中配备使用一定数量或比例的药品，满足患者用药需求。</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w:t>
      </w:r>
      <w:r>
        <w:rPr>
          <w:rFonts w:hint="eastAsia" w:ascii="仿宋" w:hAnsi="仿宋" w:eastAsia="仿宋" w:cs="宋体"/>
          <w:b/>
          <w:bCs/>
          <w:color w:val="000000"/>
          <w:kern w:val="0"/>
          <w:sz w:val="32"/>
        </w:rPr>
        <w:t>第二十三条</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t>推动医养结合，为老年人提供健康管理服务，促进慢性病全程防治管理服务同居家养老、社区养老、机构养老紧密结合。</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w:t>
      </w:r>
      <w:r>
        <w:rPr>
          <w:rFonts w:hint="eastAsia" w:ascii="仿宋" w:hAnsi="仿宋" w:eastAsia="仿宋" w:cs="宋体"/>
          <w:b/>
          <w:bCs/>
          <w:color w:val="000000"/>
          <w:kern w:val="0"/>
          <w:sz w:val="32"/>
        </w:rPr>
        <w:t>第二十四条</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t>利用省、地市、县三级人口健康信息和疾病预防控制信息管理系统，规范开展覆盖辖区全人群的死因监测和心脑血管疾病、肿瘤等慢性病及相关危险因素监测，掌握辖区重点慢性病状况、影响因素和疾病负担，实现慢性病管理信息化。</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w:t>
      </w:r>
      <w:r>
        <w:rPr>
          <w:rFonts w:hint="eastAsia" w:ascii="仿宋" w:hAnsi="仿宋" w:eastAsia="仿宋" w:cs="宋体"/>
          <w:b/>
          <w:bCs/>
          <w:color w:val="000000"/>
          <w:kern w:val="0"/>
          <w:sz w:val="32"/>
        </w:rPr>
        <w:t>第二十五条</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t>辖区疾病预防控制机构按职能设置独立的慢性病防控科室。二级以上医院配备公共卫生专业人员，履行相应的公共卫生职责。基层医疗卫生机构加强公共卫生服务能力建设，承担所在区域慢性病防控工作。</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w:t>
      </w:r>
      <w:r>
        <w:rPr>
          <w:rFonts w:hint="eastAsia" w:ascii="仿宋" w:hAnsi="仿宋" w:eastAsia="仿宋" w:cs="宋体"/>
          <w:b/>
          <w:bCs/>
          <w:color w:val="000000"/>
          <w:kern w:val="0"/>
          <w:sz w:val="32"/>
        </w:rPr>
        <w:t>第二十六条</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t>慢性病综合防控工作与当地社会、文化等建设和公共服务、公共产品供给相结合，鼓励政策、机制创新，开展具有地方特色的慢性病综合防控工作，总结推广慢性病防控工作模式和经验做法。各地市积极开展省级慢性病综合防控示范区建设工作，建成省级示范区满1年及以上的县（区）可申报国家级示范区。</w:t>
      </w:r>
    </w:p>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p>
      <w:pPr>
        <w:widowControl/>
        <w:jc w:val="center"/>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第四章</w:t>
      </w:r>
      <w:r>
        <w:rPr>
          <w:rFonts w:hint="eastAsia" w:ascii="宋体" w:hAnsi="宋体" w:cs="宋体"/>
          <w:color w:val="000000"/>
          <w:kern w:val="0"/>
          <w:sz w:val="32"/>
          <w:szCs w:val="32"/>
        </w:rPr>
        <w:t> </w:t>
      </w:r>
      <w:r>
        <w:rPr>
          <w:rFonts w:hint="eastAsia" w:ascii="黑体" w:hAnsi="黑体" w:eastAsia="黑体" w:cs="黑体"/>
          <w:color w:val="000000"/>
          <w:kern w:val="0"/>
          <w:sz w:val="32"/>
          <w:szCs w:val="32"/>
        </w:rPr>
        <w:t xml:space="preserve"> </w:t>
      </w:r>
      <w:r>
        <w:rPr>
          <w:rFonts w:hint="eastAsia" w:ascii="黑体" w:hAnsi="黑体" w:eastAsia="黑体" w:cs="宋体"/>
          <w:color w:val="000000"/>
          <w:kern w:val="0"/>
          <w:sz w:val="32"/>
          <w:szCs w:val="32"/>
        </w:rPr>
        <w:t>组织管理</w:t>
      </w:r>
    </w:p>
    <w:p>
      <w:pPr>
        <w:widowControl/>
        <w:ind w:firstLine="645"/>
        <w:rPr>
          <w:rFonts w:ascii="仿宋" w:hAnsi="仿宋" w:eastAsia="仿宋" w:cs="宋体"/>
          <w:color w:val="000000"/>
          <w:kern w:val="0"/>
          <w:sz w:val="32"/>
          <w:szCs w:val="32"/>
        </w:rPr>
      </w:pPr>
      <w:r>
        <w:rPr>
          <w:rFonts w:hint="eastAsia" w:ascii="仿宋" w:hAnsi="仿宋" w:eastAsia="仿宋" w:cs="宋体"/>
          <w:b/>
          <w:bCs/>
          <w:color w:val="000000"/>
          <w:kern w:val="0"/>
          <w:sz w:val="32"/>
        </w:rPr>
        <w:t>第二十七条</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t>省和各地市卫生计生委负责示范区建设工作的组织实施，加强有关部门间协同配合，根据全省慢性病防治中长期规划要求和各地市示范区建设进度，组织各县区开展慢性病综合防控示范区建设，积极申报国家级和省级示范区。确保到2020年，每个设区市建成1个以上国家级示范区，50%的县（市、区）和平潭综合</w:t>
      </w:r>
      <w:r>
        <w:rPr>
          <w:rFonts w:hint="eastAsia" w:ascii="仿宋" w:hAnsi="仿宋" w:eastAsia="仿宋" w:cs="宋体"/>
          <w:color w:val="000000"/>
          <w:kern w:val="0"/>
          <w:sz w:val="32"/>
          <w:szCs w:val="32"/>
          <w:lang w:val="en-US" w:eastAsia="zh-CN"/>
        </w:rPr>
        <w:t>实验区</w:t>
      </w:r>
      <w:r>
        <w:rPr>
          <w:rFonts w:hint="eastAsia" w:ascii="仿宋" w:hAnsi="仿宋" w:eastAsia="仿宋" w:cs="宋体"/>
          <w:color w:val="000000"/>
          <w:kern w:val="0"/>
          <w:sz w:val="32"/>
          <w:szCs w:val="32"/>
        </w:rPr>
        <w:t>建成省级示范区；到2025年，每个设区市建成2个以上国家级示范区。</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w:t>
      </w:r>
      <w:r>
        <w:rPr>
          <w:rFonts w:hint="eastAsia" w:ascii="仿宋" w:hAnsi="仿宋" w:eastAsia="仿宋" w:cs="宋体"/>
          <w:b/>
          <w:bCs/>
          <w:color w:val="000000"/>
          <w:kern w:val="0"/>
          <w:sz w:val="32"/>
        </w:rPr>
        <w:t>第二十八条</w:t>
      </w:r>
      <w:r>
        <w:rPr>
          <w:rFonts w:hint="eastAsia" w:ascii="仿宋" w:hAnsi="宋体" w:eastAsia="仿宋" w:cs="宋体"/>
          <w:color w:val="000000"/>
          <w:kern w:val="0"/>
          <w:sz w:val="32"/>
        </w:rPr>
        <w:t> </w:t>
      </w:r>
      <w:r>
        <w:rPr>
          <w:rFonts w:hint="eastAsia" w:ascii="仿宋" w:hAnsi="仿宋" w:eastAsia="仿宋" w:cs="宋体"/>
          <w:color w:val="000000"/>
          <w:kern w:val="0"/>
          <w:sz w:val="32"/>
        </w:rPr>
        <w:t>对于新开展慢性病综合防控示范区建设的县区，由当地政府填写“</w:t>
      </w:r>
      <w:r>
        <w:rPr>
          <w:rFonts w:hint="eastAsia" w:ascii="仿宋" w:hAnsi="仿宋" w:eastAsia="仿宋" w:cs="宋体"/>
          <w:color w:val="000000"/>
          <w:kern w:val="0"/>
          <w:sz w:val="32"/>
          <w:szCs w:val="32"/>
        </w:rPr>
        <w:t>慢性病综合防控示范区申报（复审）表（附件2）和示范区社会因素调查报告、示范区建设工作报告一同上报设区市卫计委，各地市卫生行政部门要组织相关部门及专家对辖内县（区）申报材料进行审核，开展现场调研和技术评估，根据市级评估结果在每年8月30日前择优推荐上报省卫生计生委，省卫生计生委根据各地市的推荐，组织相关部门及专家对申报材料进行审核，开展现场调研和技术评估，在每年11月30日前完成省级慢性病综合防控示范区复评, 省级示范区建设得分在210分及以上确认为省级慢性病综合防控示范区,由省卫生计生委在12月底前予以命名。</w:t>
      </w:r>
    </w:p>
    <w:p>
      <w:pPr>
        <w:widowControl/>
        <w:ind w:firstLine="645"/>
        <w:rPr>
          <w:rFonts w:ascii="仿宋" w:hAnsi="仿宋" w:eastAsia="仿宋" w:cs="宋体"/>
          <w:color w:val="000000"/>
          <w:kern w:val="0"/>
          <w:sz w:val="32"/>
          <w:szCs w:val="32"/>
        </w:rPr>
      </w:pPr>
      <w:r>
        <w:rPr>
          <w:rFonts w:hint="eastAsia" w:ascii="仿宋" w:hAnsi="仿宋" w:eastAsia="仿宋" w:cs="宋体"/>
          <w:color w:val="000000"/>
          <w:kern w:val="0"/>
          <w:sz w:val="32"/>
        </w:rPr>
        <w:t>建成省级慢性病综合防控示范区满一年及以上的，可提出申报国家级示范区的，由当地政府填写“</w:t>
      </w:r>
      <w:r>
        <w:rPr>
          <w:rFonts w:hint="eastAsia" w:ascii="仿宋" w:hAnsi="仿宋" w:eastAsia="仿宋" w:cs="宋体"/>
          <w:color w:val="000000"/>
          <w:kern w:val="0"/>
          <w:sz w:val="32"/>
          <w:szCs w:val="32"/>
        </w:rPr>
        <w:t>慢性病综合防控示范区申报（复审）表（附件2）上报设区市卫计委。各地市卫生行政部门要组织相关部门及专家对辖内县（区）申报材料进行复评审，按照国家和省卫计委规定的时间将复核结果及推荐意见上报省卫生计生委，由省卫生计生委组织相关部门及专家进行复核，开展现场调研和技术评估，同时根据复核结果和国家卫生计生委确定给我省的年度国家级示范区建设任务，在申报的省级示范区进行遴选，根据遴选结果择优推荐上报国家卫生计生委。</w:t>
      </w:r>
    </w:p>
    <w:p>
      <w:pPr>
        <w:widowControl/>
        <w:ind w:firstLine="645"/>
        <w:rPr>
          <w:rFonts w:ascii="仿宋" w:hAnsi="仿宋" w:eastAsia="仿宋" w:cs="宋体"/>
          <w:color w:val="000000"/>
          <w:kern w:val="0"/>
          <w:sz w:val="32"/>
          <w:szCs w:val="32"/>
        </w:rPr>
      </w:pPr>
      <w:r>
        <w:rPr>
          <w:rFonts w:hint="eastAsia" w:ascii="仿宋" w:hAnsi="仿宋" w:eastAsia="仿宋" w:cs="宋体"/>
          <w:b/>
          <w:bCs/>
          <w:color w:val="000000"/>
          <w:kern w:val="0"/>
          <w:sz w:val="32"/>
        </w:rPr>
        <w:t xml:space="preserve">第二十九条 </w:t>
      </w:r>
      <w:r>
        <w:rPr>
          <w:rFonts w:hint="eastAsia" w:ascii="仿宋" w:hAnsi="仿宋" w:eastAsia="仿宋" w:cs="宋体"/>
          <w:color w:val="000000"/>
          <w:kern w:val="0"/>
          <w:sz w:val="32"/>
          <w:szCs w:val="32"/>
        </w:rPr>
        <w:t>省级和各地市卫生计生行政部门会同有关部门负责所辖区域示范区的培育、遴选、推荐、管理和指导。县（市，区）级政府负责承担示范区建设各项任务。省和各地市疾病预防控制中心负责承担示范区建设日常管理及业务指导。</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w:t>
      </w:r>
      <w:r>
        <w:rPr>
          <w:rFonts w:hint="eastAsia" w:ascii="仿宋" w:hAnsi="仿宋" w:eastAsia="仿宋" w:cs="宋体"/>
          <w:b/>
          <w:bCs/>
          <w:color w:val="000000"/>
          <w:kern w:val="0"/>
          <w:sz w:val="32"/>
        </w:rPr>
        <w:t>第三十条</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t>示范区实行动态管理和复审制度，各示范区每年工作进展报告及相关资料经省市级审核后，省级示范区报省卫生计生委和省疾控中心，国家级示范区报省卫生计生委和中国疾控中心。省卫生计生委每年应组织有关部门及专家对各地市示范区工作进展进行抽查，对工作无进展的示范区要进行通报并督促整改。</w:t>
      </w:r>
    </w:p>
    <w:p>
      <w:pPr>
        <w:widowControl/>
        <w:ind w:firstLine="645"/>
        <w:rPr>
          <w:rFonts w:ascii="仿宋" w:hAnsi="仿宋" w:eastAsia="仿宋" w:cs="宋体"/>
          <w:color w:val="000000"/>
          <w:kern w:val="0"/>
          <w:sz w:val="32"/>
          <w:szCs w:val="32"/>
        </w:rPr>
      </w:pPr>
      <w:r>
        <w:rPr>
          <w:rFonts w:hint="eastAsia" w:ascii="仿宋" w:hAnsi="仿宋" w:eastAsia="仿宋" w:cs="宋体"/>
          <w:color w:val="000000"/>
          <w:kern w:val="0"/>
          <w:sz w:val="32"/>
          <w:szCs w:val="32"/>
        </w:rPr>
        <w:t>省级（国家级）示范区每满5年接受省级（国家）复审，由示范区进行自评，省级卫生计生行政部门组织复审（国家级示范区还需接受国家复审），复审未达到要求的限期整改，整改不合格者不再确认为省级（国家级）慢性病综合防控示范区。</w:t>
      </w:r>
    </w:p>
    <w:p>
      <w:pPr>
        <w:widowControl/>
        <w:ind w:left="1065" w:leftChars="50" w:hanging="960" w:hangingChars="300"/>
        <w:rPr>
          <w:rFonts w:hint="eastAsia" w:ascii="仿宋_GB2312" w:hAnsi="宋体" w:eastAsia="仿宋_GB2312" w:cs="宋体"/>
          <w:color w:val="000000"/>
          <w:kern w:val="0"/>
          <w:sz w:val="32"/>
          <w:szCs w:val="32"/>
        </w:rPr>
      </w:pPr>
      <w:r>
        <w:rPr>
          <w:rFonts w:hint="eastAsia" w:ascii="仿宋" w:hAnsi="仿宋" w:eastAsia="仿宋" w:cs="宋体"/>
          <w:color w:val="000000"/>
          <w:kern w:val="0"/>
          <w:sz w:val="32"/>
          <w:szCs w:val="32"/>
        </w:rPr>
        <w:t>附件: 1.慢性病综合防控示范区建设指标权重表</w:t>
      </w:r>
      <w:r>
        <w:rPr>
          <w:rFonts w:hint="eastAsia" w:ascii="仿宋" w:hAnsi="宋体" w:eastAsia="仿宋" w:cs="宋体"/>
          <w:color w:val="000000"/>
          <w:kern w:val="0"/>
          <w:sz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2.慢性病综合防控示范区申报（复审）表</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lang w:val="en-US" w:eastAsia="zh-CN"/>
        </w:rPr>
        <w:t>3</w:t>
      </w:r>
      <w:r>
        <w:rPr>
          <w:rFonts w:hint="eastAsia" w:ascii="仿宋" w:hAnsi="仿宋" w:eastAsia="仿宋" w:cs="宋体"/>
          <w:color w:val="000000"/>
          <w:kern w:val="0"/>
          <w:sz w:val="32"/>
          <w:szCs w:val="32"/>
        </w:rPr>
        <w:t>.福建省申报国家慢性病综合防控示范区建设指标体系（试行）</w:t>
      </w:r>
    </w:p>
    <w:p>
      <w:pPr>
        <w:widowControl/>
        <w:jc w:val="lef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br w:type="page"/>
      </w:r>
      <w:r>
        <w:rPr>
          <w:rFonts w:hint="default" w:ascii="Times New Roman" w:hAnsi="Times New Roman" w:eastAsia="黑体" w:cs="Times New Roman"/>
          <w:color w:val="000000"/>
          <w:kern w:val="0"/>
          <w:sz w:val="32"/>
          <w:szCs w:val="32"/>
        </w:rPr>
        <w:t>附件1</w:t>
      </w:r>
    </w:p>
    <w:p>
      <w:pPr>
        <w:widowControl/>
        <w:jc w:val="left"/>
        <w:rPr>
          <w:rFonts w:hint="eastAsia" w:ascii="仿宋_GB2312" w:hAnsi="宋体" w:eastAsia="仿宋_GB2312" w:cs="宋体"/>
          <w:color w:val="000000"/>
          <w:kern w:val="0"/>
          <w:sz w:val="32"/>
          <w:szCs w:val="32"/>
        </w:rPr>
      </w:pPr>
    </w:p>
    <w:p>
      <w:pPr>
        <w:widowControl/>
        <w:ind w:right="-210" w:rightChars="-100"/>
        <w:jc w:val="center"/>
        <w:rPr>
          <w:rFonts w:ascii="仿宋_GB2312" w:hAnsi="宋体" w:eastAsia="仿宋_GB2312" w:cs="宋体"/>
          <w:color w:val="000000"/>
          <w:kern w:val="0"/>
          <w:sz w:val="32"/>
          <w:szCs w:val="32"/>
        </w:rPr>
      </w:pPr>
      <w:r>
        <w:rPr>
          <w:rFonts w:hint="eastAsia" w:ascii="宋体" w:hAnsi="宋体" w:cs="宋体"/>
          <w:b/>
          <w:bCs/>
          <w:color w:val="000000"/>
          <w:kern w:val="0"/>
          <w:sz w:val="44"/>
        </w:rPr>
        <w:t>慢性病综合防控示范区建设指标权重表</w:t>
      </w:r>
    </w:p>
    <w:tbl>
      <w:tblPr>
        <w:tblStyle w:val="4"/>
        <w:tblW w:w="8941" w:type="dxa"/>
        <w:tblInd w:w="0" w:type="dxa"/>
        <w:tblLayout w:type="fixed"/>
        <w:tblCellMar>
          <w:top w:w="0" w:type="dxa"/>
          <w:left w:w="0" w:type="dxa"/>
          <w:bottom w:w="0" w:type="dxa"/>
          <w:right w:w="0" w:type="dxa"/>
        </w:tblCellMar>
      </w:tblPr>
      <w:tblGrid>
        <w:gridCol w:w="1548"/>
        <w:gridCol w:w="6430"/>
        <w:gridCol w:w="963"/>
      </w:tblGrid>
      <w:tr>
        <w:tblPrEx>
          <w:tblCellMar>
            <w:top w:w="0" w:type="dxa"/>
            <w:left w:w="0" w:type="dxa"/>
            <w:bottom w:w="0" w:type="dxa"/>
            <w:right w:w="0" w:type="dxa"/>
          </w:tblCellMar>
        </w:tblPrEx>
        <w:trPr>
          <w:trHeight w:val="144" w:hRule="atLeast"/>
        </w:trPr>
        <w:tc>
          <w:tcPr>
            <w:tcW w:w="154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黑体" w:cs="Times New Roman"/>
                <w:color w:val="000000"/>
                <w:kern w:val="0"/>
                <w:sz w:val="30"/>
                <w:szCs w:val="30"/>
              </w:rPr>
              <w:t>指标分类</w:t>
            </w:r>
          </w:p>
        </w:tc>
        <w:tc>
          <w:tcPr>
            <w:tcW w:w="64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黑体" w:cs="Times New Roman"/>
                <w:color w:val="000000"/>
                <w:kern w:val="0"/>
                <w:sz w:val="30"/>
                <w:szCs w:val="30"/>
              </w:rPr>
              <w:t>指标内容</w:t>
            </w:r>
          </w:p>
        </w:tc>
        <w:tc>
          <w:tcPr>
            <w:tcW w:w="96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黑体" w:cs="Times New Roman"/>
                <w:color w:val="000000"/>
                <w:kern w:val="0"/>
                <w:sz w:val="30"/>
                <w:szCs w:val="30"/>
              </w:rPr>
              <w:t>权重</w:t>
            </w:r>
          </w:p>
        </w:tc>
      </w:tr>
      <w:tr>
        <w:tblPrEx>
          <w:tblCellMar>
            <w:top w:w="0" w:type="dxa"/>
            <w:left w:w="0" w:type="dxa"/>
            <w:bottom w:w="0" w:type="dxa"/>
            <w:right w:w="0" w:type="dxa"/>
          </w:tblCellMar>
        </w:tblPrEx>
        <w:trPr>
          <w:trHeight w:val="144" w:hRule="atLeast"/>
        </w:trPr>
        <w:tc>
          <w:tcPr>
            <w:tcW w:w="1548"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 w:cs="Times New Roman"/>
                <w:b/>
                <w:bCs/>
                <w:color w:val="000000"/>
                <w:kern w:val="0"/>
                <w:sz w:val="30"/>
                <w:szCs w:val="30"/>
              </w:rPr>
              <w:t>政策完善</w:t>
            </w:r>
          </w:p>
        </w:tc>
        <w:tc>
          <w:tcPr>
            <w:tcW w:w="64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left"/>
              <w:rPr>
                <w:rFonts w:ascii="Times New Roman" w:hAnsi="Times New Roman" w:cs="Times New Roman"/>
                <w:color w:val="000000"/>
                <w:kern w:val="0"/>
                <w:szCs w:val="21"/>
              </w:rPr>
            </w:pPr>
            <w:r>
              <w:rPr>
                <w:rFonts w:hint="default" w:ascii="Times New Roman" w:hAnsi="Times New Roman" w:eastAsia="仿宋" w:cs="Times New Roman"/>
                <w:color w:val="000000"/>
                <w:kern w:val="0"/>
                <w:sz w:val="30"/>
                <w:szCs w:val="30"/>
              </w:rPr>
              <w:t>发挥政府主导作用，建立多部门协作联动机制。</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_GB2312" w:cs="Times New Roman"/>
                <w:b/>
                <w:bCs/>
                <w:color w:val="000000"/>
                <w:kern w:val="0"/>
                <w:sz w:val="32"/>
                <w:szCs w:val="32"/>
              </w:rPr>
              <w:t>25</w:t>
            </w:r>
          </w:p>
        </w:tc>
      </w:tr>
      <w:tr>
        <w:tblPrEx>
          <w:tblCellMar>
            <w:top w:w="0" w:type="dxa"/>
            <w:left w:w="0" w:type="dxa"/>
            <w:bottom w:w="0" w:type="dxa"/>
            <w:right w:w="0" w:type="dxa"/>
          </w:tblCellMar>
        </w:tblPrEx>
        <w:trPr>
          <w:trHeight w:val="144" w:hRule="atLeast"/>
        </w:trPr>
        <w:tc>
          <w:tcPr>
            <w:tcW w:w="1548"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cs="Times New Roman"/>
                <w:color w:val="000000"/>
                <w:kern w:val="0"/>
                <w:szCs w:val="21"/>
              </w:rPr>
            </w:pPr>
          </w:p>
        </w:tc>
        <w:tc>
          <w:tcPr>
            <w:tcW w:w="64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left"/>
              <w:rPr>
                <w:rFonts w:ascii="Times New Roman" w:hAnsi="Times New Roman" w:cs="Times New Roman"/>
                <w:color w:val="000000"/>
                <w:kern w:val="0"/>
                <w:szCs w:val="21"/>
              </w:rPr>
            </w:pPr>
            <w:r>
              <w:rPr>
                <w:rFonts w:hint="default" w:ascii="Times New Roman" w:hAnsi="Times New Roman" w:eastAsia="仿宋" w:cs="Times New Roman"/>
                <w:color w:val="000000"/>
                <w:kern w:val="0"/>
                <w:sz w:val="30"/>
                <w:szCs w:val="30"/>
              </w:rPr>
              <w:t>保障慢性病防控经费。</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_GB2312" w:cs="Times New Roman"/>
                <w:b/>
                <w:bCs/>
                <w:color w:val="000000"/>
                <w:kern w:val="0"/>
                <w:sz w:val="32"/>
                <w:szCs w:val="32"/>
              </w:rPr>
              <w:t>10</w:t>
            </w:r>
          </w:p>
        </w:tc>
      </w:tr>
      <w:tr>
        <w:tblPrEx>
          <w:tblCellMar>
            <w:top w:w="0" w:type="dxa"/>
            <w:left w:w="0" w:type="dxa"/>
            <w:bottom w:w="0" w:type="dxa"/>
            <w:right w:w="0" w:type="dxa"/>
          </w:tblCellMar>
        </w:tblPrEx>
        <w:trPr>
          <w:trHeight w:val="144" w:hRule="atLeast"/>
        </w:trPr>
        <w:tc>
          <w:tcPr>
            <w:tcW w:w="1548"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cs="Times New Roman"/>
                <w:color w:val="000000"/>
                <w:kern w:val="0"/>
                <w:szCs w:val="21"/>
              </w:rPr>
            </w:pPr>
          </w:p>
        </w:tc>
        <w:tc>
          <w:tcPr>
            <w:tcW w:w="64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left"/>
              <w:rPr>
                <w:rFonts w:ascii="Times New Roman" w:hAnsi="Times New Roman" w:cs="Times New Roman"/>
                <w:color w:val="000000"/>
                <w:kern w:val="0"/>
                <w:szCs w:val="21"/>
              </w:rPr>
            </w:pPr>
            <w:r>
              <w:rPr>
                <w:rFonts w:hint="default" w:ascii="Times New Roman" w:hAnsi="Times New Roman" w:eastAsia="仿宋" w:cs="Times New Roman"/>
                <w:color w:val="000000"/>
                <w:kern w:val="0"/>
                <w:sz w:val="30"/>
                <w:szCs w:val="30"/>
              </w:rPr>
              <w:t>建立有效的绩效管理及评价机制。</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_GB2312" w:cs="Times New Roman"/>
                <w:b/>
                <w:bCs/>
                <w:color w:val="000000"/>
                <w:kern w:val="0"/>
                <w:sz w:val="32"/>
                <w:szCs w:val="32"/>
              </w:rPr>
              <w:t>10</w:t>
            </w:r>
          </w:p>
        </w:tc>
      </w:tr>
      <w:tr>
        <w:tblPrEx>
          <w:tblCellMar>
            <w:top w:w="0" w:type="dxa"/>
            <w:left w:w="0" w:type="dxa"/>
            <w:bottom w:w="0" w:type="dxa"/>
            <w:right w:w="0" w:type="dxa"/>
          </w:tblCellMar>
        </w:tblPrEx>
        <w:trPr>
          <w:trHeight w:val="144" w:hRule="atLeast"/>
        </w:trPr>
        <w:tc>
          <w:tcPr>
            <w:tcW w:w="1548"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 w:cs="Times New Roman"/>
                <w:b/>
                <w:bCs/>
                <w:color w:val="000000"/>
                <w:kern w:val="0"/>
                <w:sz w:val="30"/>
                <w:szCs w:val="30"/>
              </w:rPr>
              <w:t>环境支持</w:t>
            </w:r>
          </w:p>
        </w:tc>
        <w:tc>
          <w:tcPr>
            <w:tcW w:w="643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adjustRightInd w:val="0"/>
              <w:snapToGrid w:val="0"/>
              <w:spacing w:beforeLines="0" w:afterLines="0" w:line="360" w:lineRule="exact"/>
              <w:rPr>
                <w:rFonts w:ascii="Times New Roman" w:hAnsi="Times New Roman" w:cs="Times New Roman"/>
                <w:color w:val="000000"/>
                <w:kern w:val="0"/>
                <w:szCs w:val="21"/>
              </w:rPr>
            </w:pPr>
            <w:r>
              <w:rPr>
                <w:rFonts w:hint="default" w:ascii="Times New Roman" w:hAnsi="Times New Roman" w:eastAsia="仿宋" w:cs="Times New Roman"/>
                <w:color w:val="000000"/>
                <w:kern w:val="0"/>
                <w:sz w:val="30"/>
                <w:szCs w:val="30"/>
              </w:rPr>
              <w:t>开展全民健康生活方式行动，构建全方位健康支持性环境。</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_GB2312" w:cs="Times New Roman"/>
                <w:b/>
                <w:bCs/>
                <w:color w:val="000000"/>
                <w:kern w:val="0"/>
                <w:sz w:val="32"/>
                <w:szCs w:val="32"/>
              </w:rPr>
              <w:t>20</w:t>
            </w:r>
          </w:p>
        </w:tc>
      </w:tr>
      <w:tr>
        <w:tblPrEx>
          <w:tblCellMar>
            <w:top w:w="0" w:type="dxa"/>
            <w:left w:w="0" w:type="dxa"/>
            <w:bottom w:w="0" w:type="dxa"/>
            <w:right w:w="0" w:type="dxa"/>
          </w:tblCellMar>
        </w:tblPrEx>
        <w:trPr>
          <w:trHeight w:val="144" w:hRule="atLeast"/>
        </w:trPr>
        <w:tc>
          <w:tcPr>
            <w:tcW w:w="1548"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cs="Times New Roman"/>
                <w:color w:val="000000"/>
                <w:kern w:val="0"/>
                <w:szCs w:val="21"/>
              </w:rPr>
            </w:pPr>
          </w:p>
        </w:tc>
        <w:tc>
          <w:tcPr>
            <w:tcW w:w="643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78" w:lineRule="atLeast"/>
              <w:rPr>
                <w:rFonts w:ascii="Times New Roman" w:hAnsi="Times New Roman" w:cs="Times New Roman"/>
                <w:color w:val="000000"/>
                <w:kern w:val="0"/>
                <w:szCs w:val="21"/>
              </w:rPr>
            </w:pPr>
            <w:r>
              <w:rPr>
                <w:rFonts w:hint="default" w:ascii="Times New Roman" w:hAnsi="Times New Roman" w:eastAsia="仿宋" w:cs="Times New Roman"/>
                <w:color w:val="000000"/>
                <w:kern w:val="0"/>
                <w:sz w:val="30"/>
                <w:szCs w:val="30"/>
              </w:rPr>
              <w:t>为群众提供方便、可及的自助式健康检测服务。</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_GB2312" w:cs="Times New Roman"/>
                <w:b/>
                <w:bCs/>
                <w:color w:val="000000"/>
                <w:kern w:val="0"/>
                <w:sz w:val="32"/>
                <w:szCs w:val="32"/>
              </w:rPr>
              <w:t>10</w:t>
            </w:r>
          </w:p>
        </w:tc>
      </w:tr>
      <w:tr>
        <w:tblPrEx>
          <w:tblCellMar>
            <w:top w:w="0" w:type="dxa"/>
            <w:left w:w="0" w:type="dxa"/>
            <w:bottom w:w="0" w:type="dxa"/>
            <w:right w:w="0" w:type="dxa"/>
          </w:tblCellMar>
        </w:tblPrEx>
        <w:trPr>
          <w:trHeight w:val="90" w:hRule="atLeast"/>
        </w:trPr>
        <w:tc>
          <w:tcPr>
            <w:tcW w:w="1548"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cs="Times New Roman"/>
                <w:color w:val="000000"/>
                <w:kern w:val="0"/>
                <w:szCs w:val="21"/>
              </w:rPr>
            </w:pPr>
          </w:p>
        </w:tc>
        <w:tc>
          <w:tcPr>
            <w:tcW w:w="643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adjustRightInd w:val="0"/>
              <w:snapToGrid w:val="0"/>
              <w:spacing w:beforeLines="0" w:afterLines="0" w:line="400" w:lineRule="exact"/>
              <w:rPr>
                <w:rFonts w:ascii="Times New Roman" w:hAnsi="Times New Roman" w:cs="Times New Roman"/>
                <w:color w:val="000000"/>
                <w:kern w:val="0"/>
                <w:szCs w:val="21"/>
              </w:rPr>
            </w:pPr>
            <w:r>
              <w:rPr>
                <w:rFonts w:hint="default" w:ascii="Times New Roman" w:hAnsi="Times New Roman" w:eastAsia="仿宋" w:cs="Times New Roman"/>
                <w:color w:val="000000"/>
                <w:kern w:val="0"/>
                <w:sz w:val="30"/>
                <w:szCs w:val="30"/>
              </w:rPr>
              <w:t>开展全民健身运动，普及公共体育设施，提高经常参加体育锻炼人口比例。</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_GB2312" w:cs="Times New Roman"/>
                <w:b/>
                <w:bCs/>
                <w:color w:val="000000"/>
                <w:kern w:val="0"/>
                <w:sz w:val="32"/>
                <w:szCs w:val="32"/>
              </w:rPr>
              <w:t>10</w:t>
            </w:r>
          </w:p>
        </w:tc>
      </w:tr>
      <w:tr>
        <w:tblPrEx>
          <w:tblCellMar>
            <w:top w:w="0" w:type="dxa"/>
            <w:left w:w="0" w:type="dxa"/>
            <w:bottom w:w="0" w:type="dxa"/>
            <w:right w:w="0" w:type="dxa"/>
          </w:tblCellMar>
        </w:tblPrEx>
        <w:trPr>
          <w:trHeight w:val="144" w:hRule="atLeast"/>
        </w:trPr>
        <w:tc>
          <w:tcPr>
            <w:tcW w:w="1548"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cs="Times New Roman"/>
                <w:color w:val="000000"/>
                <w:kern w:val="0"/>
                <w:szCs w:val="21"/>
              </w:rPr>
            </w:pPr>
          </w:p>
        </w:tc>
        <w:tc>
          <w:tcPr>
            <w:tcW w:w="643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78" w:lineRule="atLeast"/>
              <w:rPr>
                <w:rFonts w:ascii="Times New Roman" w:hAnsi="Times New Roman" w:cs="Times New Roman"/>
                <w:color w:val="000000"/>
                <w:kern w:val="0"/>
                <w:szCs w:val="21"/>
              </w:rPr>
            </w:pPr>
            <w:r>
              <w:rPr>
                <w:rFonts w:hint="default" w:ascii="Times New Roman" w:hAnsi="Times New Roman" w:eastAsia="仿宋" w:cs="Times New Roman"/>
                <w:color w:val="000000"/>
                <w:kern w:val="0"/>
                <w:sz w:val="30"/>
                <w:szCs w:val="30"/>
              </w:rPr>
              <w:t>开展烟草控制，降低人群吸烟率。</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_GB2312" w:cs="Times New Roman"/>
                <w:b/>
                <w:bCs/>
                <w:color w:val="000000"/>
                <w:kern w:val="0"/>
                <w:sz w:val="32"/>
                <w:szCs w:val="32"/>
              </w:rPr>
              <w:t>10</w:t>
            </w:r>
          </w:p>
        </w:tc>
      </w:tr>
      <w:tr>
        <w:tblPrEx>
          <w:tblCellMar>
            <w:top w:w="0" w:type="dxa"/>
            <w:left w:w="0" w:type="dxa"/>
            <w:bottom w:w="0" w:type="dxa"/>
            <w:right w:w="0" w:type="dxa"/>
          </w:tblCellMar>
        </w:tblPrEx>
        <w:trPr>
          <w:trHeight w:val="144" w:hRule="atLeast"/>
        </w:trPr>
        <w:tc>
          <w:tcPr>
            <w:tcW w:w="1548"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 w:cs="Times New Roman"/>
                <w:b/>
                <w:bCs/>
                <w:color w:val="000000"/>
                <w:kern w:val="0"/>
                <w:sz w:val="30"/>
                <w:szCs w:val="30"/>
              </w:rPr>
              <w:t>体系整合</w:t>
            </w:r>
          </w:p>
        </w:tc>
        <w:tc>
          <w:tcPr>
            <w:tcW w:w="643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78" w:lineRule="atLeast"/>
              <w:rPr>
                <w:rFonts w:ascii="Times New Roman" w:hAnsi="Times New Roman" w:cs="Times New Roman"/>
                <w:color w:val="000000"/>
                <w:kern w:val="0"/>
                <w:szCs w:val="21"/>
              </w:rPr>
            </w:pPr>
            <w:r>
              <w:rPr>
                <w:rFonts w:hint="default" w:ascii="Times New Roman" w:hAnsi="Times New Roman" w:eastAsia="仿宋" w:cs="Times New Roman"/>
                <w:color w:val="000000"/>
                <w:kern w:val="0"/>
                <w:sz w:val="30"/>
                <w:szCs w:val="30"/>
              </w:rPr>
              <w:t>建立防治结合、分工协作、优势互补、上下联动的慢性病综合防治体系。</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_GB2312" w:cs="Times New Roman"/>
                <w:b/>
                <w:bCs/>
                <w:color w:val="000000"/>
                <w:kern w:val="0"/>
                <w:sz w:val="32"/>
                <w:szCs w:val="32"/>
              </w:rPr>
              <w:t>15</w:t>
            </w:r>
          </w:p>
        </w:tc>
      </w:tr>
      <w:tr>
        <w:tblPrEx>
          <w:tblCellMar>
            <w:top w:w="0" w:type="dxa"/>
            <w:left w:w="0" w:type="dxa"/>
            <w:bottom w:w="0" w:type="dxa"/>
            <w:right w:w="0" w:type="dxa"/>
          </w:tblCellMar>
        </w:tblPrEx>
        <w:trPr>
          <w:trHeight w:val="144" w:hRule="atLeast"/>
        </w:trPr>
        <w:tc>
          <w:tcPr>
            <w:tcW w:w="1548"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cs="Times New Roman"/>
                <w:color w:val="000000"/>
                <w:kern w:val="0"/>
                <w:szCs w:val="21"/>
              </w:rPr>
            </w:pPr>
          </w:p>
        </w:tc>
        <w:tc>
          <w:tcPr>
            <w:tcW w:w="643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78" w:lineRule="atLeast"/>
              <w:rPr>
                <w:rFonts w:ascii="Times New Roman" w:hAnsi="Times New Roman" w:cs="Times New Roman"/>
                <w:color w:val="000000"/>
                <w:kern w:val="0"/>
                <w:szCs w:val="21"/>
              </w:rPr>
            </w:pPr>
            <w:r>
              <w:rPr>
                <w:rFonts w:hint="default" w:ascii="Times New Roman" w:hAnsi="Times New Roman" w:eastAsia="仿宋" w:cs="Times New Roman"/>
                <w:color w:val="000000"/>
                <w:kern w:val="0"/>
                <w:sz w:val="30"/>
                <w:szCs w:val="30"/>
              </w:rPr>
              <w:t>加强慢性病防控队伍建设。</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_GB2312" w:cs="Times New Roman"/>
                <w:b/>
                <w:bCs/>
                <w:color w:val="000000"/>
                <w:kern w:val="0"/>
                <w:sz w:val="32"/>
                <w:szCs w:val="32"/>
              </w:rPr>
              <w:t>15</w:t>
            </w:r>
          </w:p>
        </w:tc>
      </w:tr>
      <w:tr>
        <w:tblPrEx>
          <w:tblCellMar>
            <w:top w:w="0" w:type="dxa"/>
            <w:left w:w="0" w:type="dxa"/>
            <w:bottom w:w="0" w:type="dxa"/>
            <w:right w:w="0" w:type="dxa"/>
          </w:tblCellMar>
        </w:tblPrEx>
        <w:trPr>
          <w:trHeight w:val="144" w:hRule="atLeast"/>
        </w:trPr>
        <w:tc>
          <w:tcPr>
            <w:tcW w:w="1548"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 w:cs="Times New Roman"/>
                <w:b/>
                <w:bCs/>
                <w:color w:val="000000"/>
                <w:kern w:val="0"/>
                <w:sz w:val="30"/>
                <w:szCs w:val="30"/>
              </w:rPr>
              <w:t>健康教育与健康促进</w:t>
            </w:r>
          </w:p>
        </w:tc>
        <w:tc>
          <w:tcPr>
            <w:tcW w:w="643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78" w:lineRule="atLeast"/>
              <w:rPr>
                <w:rFonts w:ascii="Times New Roman" w:hAnsi="Times New Roman" w:cs="Times New Roman"/>
                <w:color w:val="000000"/>
                <w:kern w:val="0"/>
                <w:szCs w:val="21"/>
              </w:rPr>
            </w:pPr>
            <w:r>
              <w:rPr>
                <w:rFonts w:hint="default" w:ascii="Times New Roman" w:hAnsi="Times New Roman" w:eastAsia="仿宋" w:cs="Times New Roman"/>
                <w:color w:val="000000"/>
                <w:kern w:val="0"/>
                <w:sz w:val="30"/>
                <w:szCs w:val="30"/>
              </w:rPr>
              <w:t>通过多种渠道积极开展慢性病防治全民健康教育。</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_GB2312" w:cs="Times New Roman"/>
                <w:b/>
                <w:bCs/>
                <w:color w:val="000000"/>
                <w:kern w:val="0"/>
                <w:sz w:val="32"/>
                <w:szCs w:val="32"/>
              </w:rPr>
              <w:t>10</w:t>
            </w:r>
          </w:p>
        </w:tc>
      </w:tr>
      <w:tr>
        <w:tblPrEx>
          <w:tblCellMar>
            <w:top w:w="0" w:type="dxa"/>
            <w:left w:w="0" w:type="dxa"/>
            <w:bottom w:w="0" w:type="dxa"/>
            <w:right w:w="0" w:type="dxa"/>
          </w:tblCellMar>
        </w:tblPrEx>
        <w:trPr>
          <w:trHeight w:val="144" w:hRule="atLeast"/>
        </w:trPr>
        <w:tc>
          <w:tcPr>
            <w:tcW w:w="1548"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cs="Times New Roman"/>
                <w:color w:val="000000"/>
                <w:kern w:val="0"/>
                <w:szCs w:val="21"/>
              </w:rPr>
            </w:pPr>
          </w:p>
        </w:tc>
        <w:tc>
          <w:tcPr>
            <w:tcW w:w="643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78" w:lineRule="atLeast"/>
              <w:rPr>
                <w:rFonts w:ascii="Times New Roman" w:hAnsi="Times New Roman" w:cs="Times New Roman"/>
                <w:color w:val="000000"/>
                <w:kern w:val="0"/>
                <w:szCs w:val="21"/>
              </w:rPr>
            </w:pPr>
            <w:r>
              <w:rPr>
                <w:rFonts w:hint="default" w:ascii="Times New Roman" w:hAnsi="Times New Roman" w:eastAsia="仿宋" w:cs="Times New Roman"/>
                <w:color w:val="000000"/>
                <w:kern w:val="0"/>
                <w:sz w:val="30"/>
                <w:szCs w:val="30"/>
              </w:rPr>
              <w:t>提高居民重点慢性病核心知识知晓率和居民健康素养水平。</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_GB2312" w:cs="Times New Roman"/>
                <w:b/>
                <w:bCs/>
                <w:color w:val="000000"/>
                <w:kern w:val="0"/>
                <w:sz w:val="32"/>
                <w:szCs w:val="32"/>
              </w:rPr>
              <w:t>10</w:t>
            </w:r>
          </w:p>
        </w:tc>
      </w:tr>
      <w:tr>
        <w:tblPrEx>
          <w:tblCellMar>
            <w:top w:w="0" w:type="dxa"/>
            <w:left w:w="0" w:type="dxa"/>
            <w:bottom w:w="0" w:type="dxa"/>
            <w:right w:w="0" w:type="dxa"/>
          </w:tblCellMar>
        </w:tblPrEx>
        <w:trPr>
          <w:trHeight w:val="144" w:hRule="atLeast"/>
        </w:trPr>
        <w:tc>
          <w:tcPr>
            <w:tcW w:w="1548"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cs="Times New Roman"/>
                <w:color w:val="000000"/>
                <w:kern w:val="0"/>
                <w:szCs w:val="21"/>
              </w:rPr>
            </w:pPr>
          </w:p>
        </w:tc>
        <w:tc>
          <w:tcPr>
            <w:tcW w:w="643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78" w:lineRule="atLeast"/>
              <w:rPr>
                <w:rFonts w:ascii="Times New Roman" w:hAnsi="Times New Roman" w:cs="Times New Roman"/>
                <w:color w:val="000000"/>
                <w:kern w:val="0"/>
                <w:szCs w:val="21"/>
              </w:rPr>
            </w:pPr>
            <w:r>
              <w:rPr>
                <w:rFonts w:hint="default" w:ascii="Times New Roman" w:hAnsi="Times New Roman" w:eastAsia="仿宋" w:cs="Times New Roman"/>
                <w:color w:val="000000"/>
                <w:kern w:val="0"/>
                <w:sz w:val="30"/>
                <w:szCs w:val="30"/>
              </w:rPr>
              <w:t>发挥社会团体和群众组织在慢性病防控中的积极作用。</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_GB2312" w:cs="Times New Roman"/>
                <w:b/>
                <w:bCs/>
                <w:color w:val="000000"/>
                <w:kern w:val="0"/>
                <w:sz w:val="32"/>
                <w:szCs w:val="32"/>
              </w:rPr>
              <w:t>8</w:t>
            </w:r>
          </w:p>
        </w:tc>
      </w:tr>
      <w:tr>
        <w:tblPrEx>
          <w:tblCellMar>
            <w:top w:w="0" w:type="dxa"/>
            <w:left w:w="0" w:type="dxa"/>
            <w:bottom w:w="0" w:type="dxa"/>
            <w:right w:w="0" w:type="dxa"/>
          </w:tblCellMar>
        </w:tblPrEx>
        <w:trPr>
          <w:trHeight w:val="144" w:hRule="atLeast"/>
        </w:trPr>
        <w:tc>
          <w:tcPr>
            <w:tcW w:w="1548"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 w:cs="Times New Roman"/>
                <w:b/>
                <w:bCs/>
                <w:color w:val="000000"/>
                <w:kern w:val="0"/>
                <w:sz w:val="30"/>
                <w:szCs w:val="30"/>
              </w:rPr>
              <w:t>慢性病</w:t>
            </w:r>
          </w:p>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 w:cs="Times New Roman"/>
                <w:b/>
                <w:bCs/>
                <w:color w:val="000000"/>
                <w:kern w:val="0"/>
                <w:sz w:val="30"/>
                <w:szCs w:val="30"/>
              </w:rPr>
              <w:t>全程管理</w:t>
            </w:r>
          </w:p>
        </w:tc>
        <w:tc>
          <w:tcPr>
            <w:tcW w:w="643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78" w:lineRule="atLeast"/>
              <w:rPr>
                <w:rFonts w:ascii="Times New Roman" w:hAnsi="Times New Roman" w:cs="Times New Roman"/>
                <w:color w:val="000000"/>
                <w:kern w:val="0"/>
                <w:szCs w:val="21"/>
              </w:rPr>
            </w:pPr>
            <w:r>
              <w:rPr>
                <w:rFonts w:hint="default" w:ascii="Times New Roman" w:hAnsi="Times New Roman" w:eastAsia="仿宋" w:cs="Times New Roman"/>
                <w:color w:val="000000"/>
                <w:kern w:val="0"/>
                <w:sz w:val="30"/>
                <w:szCs w:val="30"/>
              </w:rPr>
              <w:t>规范健康体检，开展高危人群筛查与干预，加强癌症、心脑血管疾病等重大慢性病的早期发现与早诊早治。</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_GB2312" w:cs="Times New Roman"/>
                <w:b/>
                <w:bCs/>
                <w:color w:val="000000"/>
                <w:kern w:val="0"/>
                <w:sz w:val="32"/>
                <w:szCs w:val="32"/>
              </w:rPr>
              <w:t>20</w:t>
            </w:r>
          </w:p>
        </w:tc>
      </w:tr>
      <w:tr>
        <w:tblPrEx>
          <w:tblCellMar>
            <w:top w:w="0" w:type="dxa"/>
            <w:left w:w="0" w:type="dxa"/>
            <w:bottom w:w="0" w:type="dxa"/>
            <w:right w:w="0" w:type="dxa"/>
          </w:tblCellMar>
        </w:tblPrEx>
        <w:trPr>
          <w:trHeight w:val="144" w:hRule="atLeast"/>
        </w:trPr>
        <w:tc>
          <w:tcPr>
            <w:tcW w:w="1548"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cs="Times New Roman"/>
                <w:color w:val="000000"/>
                <w:kern w:val="0"/>
                <w:szCs w:val="21"/>
              </w:rPr>
            </w:pPr>
          </w:p>
        </w:tc>
        <w:tc>
          <w:tcPr>
            <w:tcW w:w="643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78" w:lineRule="atLeast"/>
              <w:rPr>
                <w:rFonts w:ascii="Times New Roman" w:hAnsi="Times New Roman" w:cs="Times New Roman"/>
                <w:color w:val="000000"/>
                <w:kern w:val="0"/>
                <w:szCs w:val="21"/>
              </w:rPr>
            </w:pPr>
            <w:r>
              <w:rPr>
                <w:rFonts w:hint="default" w:ascii="Times New Roman" w:hAnsi="Times New Roman" w:eastAsia="仿宋" w:cs="Times New Roman"/>
                <w:color w:val="000000"/>
                <w:kern w:val="0"/>
                <w:sz w:val="30"/>
                <w:szCs w:val="30"/>
              </w:rPr>
              <w:t>建立分级诊疗制度，推进家庭医生签约服务，开展高血压、糖尿病等重点慢性病规范化管理。</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_GB2312" w:cs="Times New Roman"/>
                <w:b/>
                <w:bCs/>
                <w:color w:val="000000"/>
                <w:kern w:val="0"/>
                <w:sz w:val="32"/>
                <w:szCs w:val="32"/>
              </w:rPr>
              <w:t>25</w:t>
            </w:r>
          </w:p>
        </w:tc>
      </w:tr>
      <w:tr>
        <w:tblPrEx>
          <w:tblCellMar>
            <w:top w:w="0" w:type="dxa"/>
            <w:left w:w="0" w:type="dxa"/>
            <w:bottom w:w="0" w:type="dxa"/>
            <w:right w:w="0" w:type="dxa"/>
          </w:tblCellMar>
        </w:tblPrEx>
        <w:trPr>
          <w:trHeight w:val="144" w:hRule="atLeast"/>
        </w:trPr>
        <w:tc>
          <w:tcPr>
            <w:tcW w:w="1548"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cs="Times New Roman"/>
                <w:color w:val="000000"/>
                <w:kern w:val="0"/>
                <w:szCs w:val="21"/>
              </w:rPr>
            </w:pPr>
          </w:p>
        </w:tc>
        <w:tc>
          <w:tcPr>
            <w:tcW w:w="643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78" w:lineRule="atLeast"/>
              <w:rPr>
                <w:rFonts w:ascii="Times New Roman" w:hAnsi="Times New Roman" w:cs="Times New Roman"/>
                <w:color w:val="000000"/>
                <w:kern w:val="0"/>
                <w:szCs w:val="21"/>
              </w:rPr>
            </w:pPr>
            <w:r>
              <w:rPr>
                <w:rFonts w:hint="default" w:ascii="Times New Roman" w:hAnsi="Times New Roman" w:eastAsia="仿宋" w:cs="Times New Roman"/>
                <w:color w:val="000000"/>
                <w:kern w:val="0"/>
                <w:sz w:val="30"/>
                <w:szCs w:val="30"/>
              </w:rPr>
              <w:t>在重点人群中开展口腔疾病防治。</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_GB2312" w:cs="Times New Roman"/>
                <w:b/>
                <w:bCs/>
                <w:color w:val="000000"/>
                <w:kern w:val="0"/>
                <w:sz w:val="32"/>
                <w:szCs w:val="32"/>
              </w:rPr>
              <w:t>6</w:t>
            </w:r>
          </w:p>
        </w:tc>
      </w:tr>
      <w:tr>
        <w:tblPrEx>
          <w:tblCellMar>
            <w:top w:w="0" w:type="dxa"/>
            <w:left w:w="0" w:type="dxa"/>
            <w:bottom w:w="0" w:type="dxa"/>
            <w:right w:w="0" w:type="dxa"/>
          </w:tblCellMar>
        </w:tblPrEx>
        <w:trPr>
          <w:trHeight w:val="144" w:hRule="atLeast"/>
        </w:trPr>
        <w:tc>
          <w:tcPr>
            <w:tcW w:w="1548"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cs="Times New Roman"/>
                <w:color w:val="000000"/>
                <w:kern w:val="0"/>
                <w:szCs w:val="21"/>
              </w:rPr>
            </w:pPr>
          </w:p>
        </w:tc>
        <w:tc>
          <w:tcPr>
            <w:tcW w:w="643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78" w:lineRule="atLeast"/>
              <w:rPr>
                <w:rFonts w:ascii="Times New Roman" w:hAnsi="Times New Roman" w:cs="Times New Roman"/>
                <w:color w:val="000000"/>
                <w:kern w:val="0"/>
                <w:szCs w:val="21"/>
              </w:rPr>
            </w:pPr>
            <w:r>
              <w:rPr>
                <w:rFonts w:hint="default" w:ascii="Times New Roman" w:hAnsi="Times New Roman" w:eastAsia="仿宋" w:cs="Times New Roman"/>
                <w:color w:val="000000"/>
                <w:kern w:val="0"/>
                <w:sz w:val="30"/>
                <w:szCs w:val="30"/>
              </w:rPr>
              <w:t>完善区域信息平台，实现医疗卫生机构间互联互通、信息共享。</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_GB2312" w:cs="Times New Roman"/>
                <w:b/>
                <w:bCs/>
                <w:color w:val="000000"/>
                <w:kern w:val="0"/>
                <w:sz w:val="32"/>
                <w:szCs w:val="32"/>
              </w:rPr>
              <w:t>15</w:t>
            </w:r>
          </w:p>
        </w:tc>
      </w:tr>
      <w:tr>
        <w:tblPrEx>
          <w:tblCellMar>
            <w:top w:w="0" w:type="dxa"/>
            <w:left w:w="0" w:type="dxa"/>
            <w:bottom w:w="0" w:type="dxa"/>
            <w:right w:w="0" w:type="dxa"/>
          </w:tblCellMar>
        </w:tblPrEx>
        <w:trPr>
          <w:trHeight w:val="144" w:hRule="atLeast"/>
        </w:trPr>
        <w:tc>
          <w:tcPr>
            <w:tcW w:w="1548"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cs="Times New Roman"/>
                <w:color w:val="000000"/>
                <w:kern w:val="0"/>
                <w:szCs w:val="21"/>
              </w:rPr>
            </w:pPr>
          </w:p>
        </w:tc>
        <w:tc>
          <w:tcPr>
            <w:tcW w:w="643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78" w:lineRule="atLeast"/>
              <w:rPr>
                <w:rFonts w:ascii="Times New Roman" w:hAnsi="Times New Roman" w:cs="Times New Roman"/>
                <w:color w:val="000000"/>
                <w:kern w:val="0"/>
                <w:szCs w:val="21"/>
              </w:rPr>
            </w:pPr>
            <w:r>
              <w:rPr>
                <w:rFonts w:hint="default" w:ascii="Times New Roman" w:hAnsi="Times New Roman" w:eastAsia="仿宋" w:cs="Times New Roman"/>
                <w:color w:val="000000"/>
                <w:kern w:val="0"/>
                <w:sz w:val="30"/>
                <w:szCs w:val="30"/>
              </w:rPr>
              <w:t>中西医并重，发挥中医药在慢性病预防、保健、诊疗、康复中的作用。</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_GB2312" w:cs="Times New Roman"/>
                <w:b/>
                <w:bCs/>
                <w:color w:val="000000"/>
                <w:kern w:val="0"/>
                <w:sz w:val="32"/>
                <w:szCs w:val="32"/>
              </w:rPr>
              <w:t>7</w:t>
            </w:r>
          </w:p>
        </w:tc>
      </w:tr>
      <w:tr>
        <w:tblPrEx>
          <w:tblCellMar>
            <w:top w:w="0" w:type="dxa"/>
            <w:left w:w="0" w:type="dxa"/>
            <w:bottom w:w="0" w:type="dxa"/>
            <w:right w:w="0" w:type="dxa"/>
          </w:tblCellMar>
        </w:tblPrEx>
        <w:trPr>
          <w:trHeight w:val="144" w:hRule="atLeast"/>
        </w:trPr>
        <w:tc>
          <w:tcPr>
            <w:tcW w:w="1548"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cs="Times New Roman"/>
                <w:color w:val="000000"/>
                <w:kern w:val="0"/>
                <w:szCs w:val="21"/>
              </w:rPr>
            </w:pPr>
          </w:p>
        </w:tc>
        <w:tc>
          <w:tcPr>
            <w:tcW w:w="643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78" w:lineRule="atLeast"/>
              <w:rPr>
                <w:rFonts w:ascii="Times New Roman" w:hAnsi="Times New Roman" w:cs="Times New Roman"/>
                <w:color w:val="000000"/>
                <w:kern w:val="0"/>
                <w:szCs w:val="21"/>
              </w:rPr>
            </w:pPr>
            <w:r>
              <w:rPr>
                <w:rFonts w:hint="default" w:ascii="Times New Roman" w:hAnsi="Times New Roman" w:eastAsia="仿宋" w:cs="Times New Roman"/>
                <w:color w:val="000000"/>
                <w:kern w:val="0"/>
                <w:sz w:val="30"/>
                <w:szCs w:val="30"/>
              </w:rPr>
              <w:t>做好基本医疗保险、城乡居民大病保险和医疗救助重大疾病保障的衔接。</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_GB2312" w:cs="Times New Roman"/>
                <w:b/>
                <w:bCs/>
                <w:color w:val="000000"/>
                <w:kern w:val="0"/>
                <w:sz w:val="32"/>
                <w:szCs w:val="32"/>
              </w:rPr>
              <w:t>7</w:t>
            </w:r>
          </w:p>
        </w:tc>
      </w:tr>
      <w:tr>
        <w:tblPrEx>
          <w:tblCellMar>
            <w:top w:w="0" w:type="dxa"/>
            <w:left w:w="0" w:type="dxa"/>
            <w:bottom w:w="0" w:type="dxa"/>
            <w:right w:w="0" w:type="dxa"/>
          </w:tblCellMar>
        </w:tblPrEx>
        <w:trPr>
          <w:trHeight w:val="144" w:hRule="atLeast"/>
        </w:trPr>
        <w:tc>
          <w:tcPr>
            <w:tcW w:w="1548"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cs="Times New Roman"/>
                <w:color w:val="000000"/>
                <w:kern w:val="0"/>
                <w:szCs w:val="21"/>
              </w:rPr>
            </w:pPr>
          </w:p>
        </w:tc>
        <w:tc>
          <w:tcPr>
            <w:tcW w:w="643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78" w:lineRule="atLeast"/>
              <w:rPr>
                <w:rFonts w:ascii="Times New Roman" w:hAnsi="Times New Roman" w:cs="Times New Roman"/>
                <w:color w:val="000000"/>
                <w:kern w:val="0"/>
                <w:szCs w:val="21"/>
              </w:rPr>
            </w:pPr>
            <w:r>
              <w:rPr>
                <w:rFonts w:hint="default" w:ascii="Times New Roman" w:hAnsi="Times New Roman" w:eastAsia="仿宋" w:cs="Times New Roman"/>
                <w:color w:val="000000"/>
                <w:kern w:val="0"/>
                <w:sz w:val="30"/>
                <w:szCs w:val="30"/>
              </w:rPr>
              <w:t>动员社会力量参与慢性病防控工作，促进医养结合。</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_GB2312" w:cs="Times New Roman"/>
                <w:b/>
                <w:bCs/>
                <w:color w:val="000000"/>
                <w:kern w:val="0"/>
                <w:sz w:val="32"/>
                <w:szCs w:val="32"/>
              </w:rPr>
              <w:t>7</w:t>
            </w:r>
          </w:p>
        </w:tc>
      </w:tr>
      <w:tr>
        <w:tblPrEx>
          <w:tblCellMar>
            <w:top w:w="0" w:type="dxa"/>
            <w:left w:w="0" w:type="dxa"/>
            <w:bottom w:w="0" w:type="dxa"/>
            <w:right w:w="0" w:type="dxa"/>
          </w:tblCellMar>
        </w:tblPrEx>
        <w:trPr>
          <w:trHeight w:val="628" w:hRule="atLeast"/>
        </w:trPr>
        <w:tc>
          <w:tcPr>
            <w:tcW w:w="1548"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 w:cs="Times New Roman"/>
                <w:b/>
                <w:bCs/>
                <w:color w:val="000000"/>
                <w:kern w:val="0"/>
                <w:sz w:val="30"/>
                <w:szCs w:val="30"/>
              </w:rPr>
              <w:t>监测评估</w:t>
            </w:r>
          </w:p>
        </w:tc>
        <w:tc>
          <w:tcPr>
            <w:tcW w:w="643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78" w:lineRule="atLeast"/>
              <w:rPr>
                <w:rFonts w:ascii="Times New Roman" w:hAnsi="Times New Roman" w:cs="Times New Roman"/>
                <w:color w:val="000000"/>
                <w:kern w:val="0"/>
                <w:szCs w:val="21"/>
              </w:rPr>
            </w:pPr>
            <w:r>
              <w:rPr>
                <w:rFonts w:hint="default" w:ascii="Times New Roman" w:hAnsi="Times New Roman" w:eastAsia="仿宋" w:cs="Times New Roman"/>
                <w:color w:val="000000"/>
                <w:kern w:val="0"/>
                <w:sz w:val="30"/>
                <w:szCs w:val="30"/>
              </w:rPr>
              <w:t>开展过程质量控制和重点慢性病监测工作。</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_GB2312" w:cs="Times New Roman"/>
                <w:b/>
                <w:bCs/>
                <w:color w:val="000000"/>
                <w:kern w:val="0"/>
                <w:sz w:val="32"/>
                <w:szCs w:val="32"/>
              </w:rPr>
              <w:t>15</w:t>
            </w:r>
          </w:p>
        </w:tc>
      </w:tr>
      <w:tr>
        <w:tblPrEx>
          <w:tblCellMar>
            <w:top w:w="0" w:type="dxa"/>
            <w:left w:w="0" w:type="dxa"/>
            <w:bottom w:w="0" w:type="dxa"/>
            <w:right w:w="0" w:type="dxa"/>
          </w:tblCellMar>
        </w:tblPrEx>
        <w:trPr>
          <w:trHeight w:val="144" w:hRule="atLeast"/>
        </w:trPr>
        <w:tc>
          <w:tcPr>
            <w:tcW w:w="1548"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cs="Times New Roman"/>
                <w:color w:val="000000"/>
                <w:kern w:val="0"/>
                <w:szCs w:val="21"/>
              </w:rPr>
            </w:pPr>
          </w:p>
        </w:tc>
        <w:tc>
          <w:tcPr>
            <w:tcW w:w="643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78" w:lineRule="atLeast"/>
              <w:rPr>
                <w:rFonts w:ascii="Times New Roman" w:hAnsi="Times New Roman" w:cs="Times New Roman"/>
                <w:color w:val="000000"/>
                <w:kern w:val="0"/>
                <w:szCs w:val="21"/>
              </w:rPr>
            </w:pPr>
            <w:r>
              <w:rPr>
                <w:rFonts w:hint="default" w:ascii="Times New Roman" w:hAnsi="Times New Roman" w:eastAsia="仿宋" w:cs="Times New Roman"/>
                <w:color w:val="000000"/>
                <w:kern w:val="0"/>
                <w:sz w:val="30"/>
                <w:szCs w:val="30"/>
              </w:rPr>
              <w:t>开展慢性病防控社会因素调查，定期发布调查结果。</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_GB2312" w:cs="Times New Roman"/>
                <w:b/>
                <w:bCs/>
                <w:color w:val="000000"/>
                <w:kern w:val="0"/>
                <w:sz w:val="32"/>
                <w:szCs w:val="32"/>
              </w:rPr>
              <w:t>15</w:t>
            </w:r>
          </w:p>
        </w:tc>
      </w:tr>
      <w:tr>
        <w:tblPrEx>
          <w:tblCellMar>
            <w:top w:w="0" w:type="dxa"/>
            <w:left w:w="0" w:type="dxa"/>
            <w:bottom w:w="0" w:type="dxa"/>
            <w:right w:w="0" w:type="dxa"/>
          </w:tblCellMar>
        </w:tblPrEx>
        <w:trPr>
          <w:trHeight w:val="394" w:hRule="atLeast"/>
        </w:trPr>
        <w:tc>
          <w:tcPr>
            <w:tcW w:w="154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 w:cs="Times New Roman"/>
                <w:b/>
                <w:bCs/>
                <w:color w:val="000000"/>
                <w:kern w:val="0"/>
                <w:sz w:val="30"/>
                <w:szCs w:val="30"/>
              </w:rPr>
              <w:t>创新引领</w:t>
            </w:r>
          </w:p>
        </w:tc>
        <w:tc>
          <w:tcPr>
            <w:tcW w:w="643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78" w:lineRule="atLeast"/>
              <w:rPr>
                <w:rFonts w:ascii="Times New Roman" w:hAnsi="Times New Roman" w:cs="Times New Roman"/>
                <w:color w:val="000000"/>
                <w:kern w:val="0"/>
                <w:szCs w:val="21"/>
              </w:rPr>
            </w:pPr>
            <w:r>
              <w:rPr>
                <w:rFonts w:hint="default" w:ascii="Times New Roman" w:hAnsi="Times New Roman" w:eastAsia="仿宋" w:cs="Times New Roman"/>
                <w:color w:val="000000"/>
                <w:kern w:val="0"/>
                <w:sz w:val="30"/>
                <w:szCs w:val="30"/>
              </w:rPr>
              <w:t>慢性病综合防控工作有特色、可复制、可推广。</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_GB2312" w:cs="Times New Roman"/>
                <w:b/>
                <w:bCs/>
                <w:color w:val="000000"/>
                <w:kern w:val="0"/>
                <w:sz w:val="32"/>
                <w:szCs w:val="32"/>
              </w:rPr>
              <w:t>30</w:t>
            </w:r>
          </w:p>
        </w:tc>
      </w:tr>
      <w:tr>
        <w:tblPrEx>
          <w:tblCellMar>
            <w:top w:w="0" w:type="dxa"/>
            <w:left w:w="0" w:type="dxa"/>
            <w:bottom w:w="0" w:type="dxa"/>
            <w:right w:w="0" w:type="dxa"/>
          </w:tblCellMar>
        </w:tblPrEx>
        <w:trPr>
          <w:trHeight w:val="643" w:hRule="atLeast"/>
        </w:trPr>
        <w:tc>
          <w:tcPr>
            <w:tcW w:w="154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 w:cs="Times New Roman"/>
                <w:b/>
                <w:bCs/>
                <w:color w:val="000000"/>
                <w:kern w:val="0"/>
                <w:sz w:val="30"/>
                <w:szCs w:val="30"/>
              </w:rPr>
              <w:t>总计</w:t>
            </w:r>
          </w:p>
        </w:tc>
        <w:tc>
          <w:tcPr>
            <w:tcW w:w="643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78" w:lineRule="atLeast"/>
              <w:jc w:val="left"/>
              <w:rPr>
                <w:rFonts w:hint="default" w:ascii="Times New Roman" w:hAnsi="Times New Roman" w:cs="Times New Roman"/>
                <w:color w:val="000000"/>
                <w:kern w:val="0"/>
                <w:szCs w:val="21"/>
              </w:rPr>
            </w:pP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78" w:lineRule="atLeast"/>
              <w:jc w:val="center"/>
              <w:rPr>
                <w:rFonts w:ascii="Times New Roman" w:hAnsi="Times New Roman" w:cs="Times New Roman"/>
                <w:color w:val="000000"/>
                <w:kern w:val="0"/>
                <w:szCs w:val="21"/>
              </w:rPr>
            </w:pPr>
            <w:r>
              <w:rPr>
                <w:rFonts w:hint="default" w:ascii="Times New Roman" w:hAnsi="Times New Roman" w:eastAsia="仿宋_GB2312" w:cs="Times New Roman"/>
                <w:b/>
                <w:bCs/>
                <w:color w:val="000000"/>
                <w:kern w:val="0"/>
                <w:sz w:val="30"/>
                <w:szCs w:val="30"/>
              </w:rPr>
              <w:t>300</w:t>
            </w:r>
          </w:p>
        </w:tc>
      </w:tr>
    </w:tbl>
    <w:p/>
    <w:p/>
    <w:p>
      <w:pPr>
        <w:rPr>
          <w:rFonts w:ascii="黑体" w:hAnsi="黑体" w:eastAsia="黑体"/>
          <w:sz w:val="28"/>
          <w:szCs w:val="28"/>
        </w:rPr>
      </w:pPr>
      <w:r>
        <w:rPr>
          <w:rFonts w:hint="eastAsia" w:ascii="黑体" w:hAnsi="黑体" w:eastAsia="黑体"/>
          <w:sz w:val="28"/>
          <w:szCs w:val="28"/>
        </w:rPr>
        <w:t>附件2</w:t>
      </w:r>
    </w:p>
    <w:p>
      <w:pPr>
        <w:rPr>
          <w:rFonts w:ascii="黑体" w:hAnsi="黑体" w:eastAsia="黑体"/>
          <w:sz w:val="28"/>
          <w:szCs w:val="28"/>
        </w:rPr>
      </w:pPr>
    </w:p>
    <w:p>
      <w:pPr>
        <w:spacing w:line="480" w:lineRule="auto"/>
        <w:jc w:val="center"/>
        <w:rPr>
          <w:rFonts w:ascii="宋体" w:hAnsi="宋体"/>
          <w:b/>
          <w:sz w:val="44"/>
          <w:szCs w:val="44"/>
        </w:rPr>
      </w:pPr>
      <w:r>
        <w:rPr>
          <w:rFonts w:hint="eastAsia" w:ascii="宋体" w:hAnsi="宋体"/>
          <w:b/>
          <w:sz w:val="44"/>
          <w:szCs w:val="44"/>
        </w:rPr>
        <w:t>慢性病综合防控示范区</w:t>
      </w:r>
    </w:p>
    <w:p>
      <w:pPr>
        <w:spacing w:line="480" w:lineRule="auto"/>
        <w:jc w:val="center"/>
        <w:rPr>
          <w:rFonts w:ascii="宋体" w:hAnsi="宋体"/>
          <w:b/>
          <w:sz w:val="44"/>
          <w:szCs w:val="44"/>
        </w:rPr>
      </w:pPr>
      <w:r>
        <w:rPr>
          <w:rFonts w:hint="eastAsia" w:ascii="宋体" w:hAnsi="宋体"/>
          <w:b/>
          <w:sz w:val="44"/>
          <w:szCs w:val="44"/>
        </w:rPr>
        <w:t>申报（复审）表</w:t>
      </w:r>
    </w:p>
    <w:p>
      <w:pPr>
        <w:rPr>
          <w:rFonts w:ascii="黑体" w:hAnsi="黑体" w:eastAsia="黑体"/>
          <w:sz w:val="28"/>
          <w:szCs w:val="28"/>
        </w:rPr>
      </w:pPr>
    </w:p>
    <w:p>
      <w:pPr>
        <w:rPr>
          <w:rFonts w:ascii="黑体" w:hAnsi="黑体" w:eastAsia="黑体"/>
          <w:sz w:val="28"/>
          <w:szCs w:val="28"/>
        </w:rPr>
      </w:pPr>
    </w:p>
    <w:p>
      <w:pPr>
        <w:spacing w:line="480" w:lineRule="auto"/>
        <w:rPr>
          <w:rFonts w:ascii="仿宋_GB2312" w:hAnsi="黑体" w:eastAsia="仿宋_GB2312"/>
          <w:sz w:val="32"/>
          <w:szCs w:val="32"/>
        </w:rPr>
      </w:pPr>
      <w:r>
        <w:rPr>
          <w:rFonts w:ascii="黑体" w:hAnsi="黑体" w:eastAsia="黑体"/>
          <w:sz w:val="28"/>
          <w:szCs w:val="28"/>
        </w:rPr>
        <mc:AlternateContent>
          <mc:Choice Requires="wps">
            <w:drawing>
              <wp:anchor distT="0" distB="0" distL="114300" distR="114300" simplePos="0" relativeHeight="251659264" behindDoc="0" locked="0" layoutInCell="1" allowOverlap="1">
                <wp:simplePos x="0" y="0"/>
                <wp:positionH relativeFrom="column">
                  <wp:posOffset>1170940</wp:posOffset>
                </wp:positionH>
                <wp:positionV relativeFrom="paragraph">
                  <wp:posOffset>363855</wp:posOffset>
                </wp:positionV>
                <wp:extent cx="386397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38639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92.2pt;margin-top:28.65pt;height:0pt;width:304.25pt;z-index:251659264;mso-width-relative:page;mso-height-relative:page;" filled="f" stroked="t" coordsize="21600,21600" o:gfxdata="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hPNdXXAAAACQEAAA8AAAAAAAAAAQAgAAAAIgAAAGRycy9kb3ducmV2&#10;LnhtbFBLAQIUABQAAAAIAIdO4kDDzryC/QEAAOwDAAAOAAAAAAAAAAEAIAAAACYBAABkcnMvZTJv&#10;RG9jLnhtbFBLBQYAAAAABgAGAFkBAACVBQAAAAA=&#10;">
                <v:fill on="f" focussize="0,0"/>
                <v:stroke color="#000000" joinstyle="round"/>
                <v:imagedata o:title=""/>
                <o:lock v:ext="edit" aspectratio="f"/>
              </v:shape>
            </w:pict>
          </mc:Fallback>
        </mc:AlternateContent>
      </w:r>
      <w:r>
        <w:rPr>
          <w:rFonts w:hint="eastAsia" w:ascii="仿宋_GB2312" w:hAnsi="黑体" w:eastAsia="仿宋_GB2312"/>
          <w:sz w:val="32"/>
          <w:szCs w:val="32"/>
        </w:rPr>
        <w:t>申报等级:</w:t>
      </w:r>
    </w:p>
    <w:p>
      <w:pPr>
        <w:spacing w:line="480" w:lineRule="auto"/>
        <w:rPr>
          <w:rFonts w:ascii="仿宋_GB2312" w:hAnsi="黑体" w:eastAsia="仿宋_GB2312"/>
          <w:sz w:val="32"/>
          <w:szCs w:val="32"/>
        </w:rPr>
      </w:pPr>
    </w:p>
    <w:p>
      <w:pPr>
        <w:spacing w:line="480" w:lineRule="auto"/>
        <w:rPr>
          <w:rFonts w:ascii="仿宋_GB2312" w:hAnsi="黑体" w:eastAsia="仿宋_GB2312"/>
          <w:sz w:val="32"/>
          <w:szCs w:val="32"/>
        </w:rPr>
      </w:pPr>
      <w:r>
        <w:rPr>
          <w:rFonts w:ascii="仿宋_GB2312" w:hAnsi="黑体"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1053465</wp:posOffset>
                </wp:positionH>
                <wp:positionV relativeFrom="paragraph">
                  <wp:posOffset>358775</wp:posOffset>
                </wp:positionV>
                <wp:extent cx="1414145" cy="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141414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2.95pt;margin-top:28.25pt;height:0pt;width:111.35pt;z-index:251660288;mso-width-relative:page;mso-height-relative:page;" filled="f" stroked="t" coordsize="21600,21600" o:gfxdata="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vPt0NYAAAAJAQAADwAAAAAAAAABACAAAAAiAAAAZHJzL2Rvd25yZXYueG1s&#10;UEsBAhQAFAAAAAgAh07iQMX4WJP6AQAA7AMAAA4AAAAAAAAAAQAgAAAAJQEAAGRycy9lMm9Eb2Mu&#10;eG1sUEsFBgAAAAAGAAYAWQEAAJEFAAAAAA==&#10;">
                <v:fill on="f" focussize="0,0"/>
                <v:stroke color="#000000" joinstyle="round"/>
                <v:imagedata o:title=""/>
                <o:lock v:ext="edit" aspectratio="f"/>
              </v:shape>
            </w:pict>
          </mc:Fallback>
        </mc:AlternateContent>
      </w:r>
      <w:r>
        <w:rPr>
          <w:rFonts w:hint="eastAsia" w:ascii="仿宋_GB2312" w:hAnsi="黑体" w:eastAsia="仿宋_GB2312"/>
          <w:sz w:val="32"/>
          <w:szCs w:val="32"/>
        </w:rPr>
        <w:t>申报单位:                县（市、区）人民政府</w:t>
      </w:r>
    </w:p>
    <w:p>
      <w:pPr>
        <w:spacing w:line="480" w:lineRule="auto"/>
        <w:rPr>
          <w:rFonts w:ascii="仿宋_GB2312" w:hAnsi="黑体" w:eastAsia="仿宋_GB2312"/>
          <w:sz w:val="32"/>
          <w:szCs w:val="32"/>
        </w:rPr>
      </w:pPr>
    </w:p>
    <w:p>
      <w:pPr>
        <w:spacing w:line="480" w:lineRule="auto"/>
        <w:rPr>
          <w:rFonts w:ascii="仿宋_GB2312" w:hAnsi="黑体" w:eastAsia="仿宋_GB2312"/>
          <w:sz w:val="32"/>
          <w:szCs w:val="32"/>
        </w:rPr>
      </w:pPr>
      <w:r>
        <w:rPr>
          <w:rFonts w:ascii="仿宋_GB2312" w:hAnsi="黑体" w:eastAsia="仿宋_GB2312"/>
          <w:sz w:val="32"/>
          <w:szCs w:val="32"/>
        </w:rPr>
        <mc:AlternateContent>
          <mc:Choice Requires="wps">
            <w:drawing>
              <wp:anchor distT="0" distB="0" distL="114300" distR="114300" simplePos="0" relativeHeight="251663360" behindDoc="0" locked="0" layoutInCell="1" allowOverlap="1">
                <wp:simplePos x="0" y="0"/>
                <wp:positionH relativeFrom="column">
                  <wp:posOffset>2656840</wp:posOffset>
                </wp:positionH>
                <wp:positionV relativeFrom="paragraph">
                  <wp:posOffset>329565</wp:posOffset>
                </wp:positionV>
                <wp:extent cx="570230" cy="0"/>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5702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9.2pt;margin-top:25.95pt;height:0pt;width:44.9pt;z-index:251663360;mso-width-relative:page;mso-height-relative:page;" filled="f" stroked="t" coordsize="21600,21600" o:gfxdata="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AufDNcAAAAJAQAADwAAAAAAAAABACAAAAAiAAAAZHJzL2Rvd25yZXYu&#10;eG1sUEsBAhQAFAAAAAgAh07iQBnYLC78AQAA6wMAAA4AAAAAAAAAAQAgAAAAJgEAAGRycy9lMm9E&#10;b2MueG1sUEsFBgAAAAAGAAYAWQEAAJQFAAAAAA==&#10;">
                <v:fill on="f" focussize="0,0"/>
                <v:stroke color="#000000" joinstyle="round"/>
                <v:imagedata o:title=""/>
                <o:lock v:ext="edit" aspectratio="f"/>
              </v:shape>
            </w:pict>
          </mc:Fallback>
        </mc:AlternateContent>
      </w:r>
      <w:r>
        <w:rPr>
          <w:rFonts w:ascii="仿宋_GB2312" w:hAnsi="黑体"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1848485</wp:posOffset>
                </wp:positionH>
                <wp:positionV relativeFrom="paragraph">
                  <wp:posOffset>329565</wp:posOffset>
                </wp:positionV>
                <wp:extent cx="570230" cy="0"/>
                <wp:effectExtent l="0" t="0" r="0" b="0"/>
                <wp:wrapNone/>
                <wp:docPr id="6" name="直接箭头连接符 6"/>
                <wp:cNvGraphicFramePr/>
                <a:graphic xmlns:a="http://schemas.openxmlformats.org/drawingml/2006/main">
                  <a:graphicData uri="http://schemas.microsoft.com/office/word/2010/wordprocessingShape">
                    <wps:wsp>
                      <wps:cNvCnPr/>
                      <wps:spPr>
                        <a:xfrm>
                          <a:off x="0" y="0"/>
                          <a:ext cx="5702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45.55pt;margin-top:25.95pt;height:0pt;width:44.9pt;z-index:251661312;mso-width-relative:page;mso-height-relative:page;" filled="f" stroked="t" coordsize="21600,21600" o:gfxdata="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r2omO1gAAAAkBAAAPAAAAAAAAAAEAIAAAACIAAABkcnMvZG93bnJldi54&#10;bWxQSwECFAAUAAAACACHTuJAGKMjvfwBAADrAwAADgAAAAAAAAABACAAAAAlAQAAZHJzL2Uyb0Rv&#10;Yy54bWxQSwUGAAAAAAYABgBZAQAAkwUAAAAA&#10;">
                <v:fill on="f" focussize="0,0"/>
                <v:stroke color="#000000" joinstyle="round"/>
                <v:imagedata o:title=""/>
                <o:lock v:ext="edit" aspectratio="f"/>
              </v:shape>
            </w:pict>
          </mc:Fallback>
        </mc:AlternateContent>
      </w:r>
      <w:r>
        <w:rPr>
          <w:rFonts w:ascii="仿宋_GB2312" w:hAnsi="黑体" w:eastAsia="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918845</wp:posOffset>
                </wp:positionH>
                <wp:positionV relativeFrom="paragraph">
                  <wp:posOffset>329565</wp:posOffset>
                </wp:positionV>
                <wp:extent cx="570230"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702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2.35pt;margin-top:25.95pt;height:0pt;width:44.9pt;z-index:251662336;mso-width-relative:page;mso-height-relative:page;" filled="f" stroked="t" coordsize="21600,21600" o:gfxdata="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8j8I1gAAAAkBAAAPAAAAAAAAAAEAIAAAACIAAABkcnMvZG93bnJldi54&#10;bWxQSwECFAAUAAAACACHTuJAWihD0/wBAADrAwAADgAAAAAAAAABACAAAAAlAQAAZHJzL2Uyb0Rv&#10;Yy54bWxQSwUGAAAAAAYABgBZAQAAkwUAAAAA&#10;">
                <v:fill on="f" focussize="0,0"/>
                <v:stroke color="#000000" joinstyle="round"/>
                <v:imagedata o:title=""/>
                <o:lock v:ext="edit" aspectratio="f"/>
              </v:shape>
            </w:pict>
          </mc:Fallback>
        </mc:AlternateContent>
      </w:r>
      <w:r>
        <w:rPr>
          <w:rFonts w:hint="eastAsia" w:ascii="仿宋_GB2312" w:hAnsi="黑体" w:eastAsia="仿宋_GB2312"/>
          <w:sz w:val="32"/>
          <w:szCs w:val="32"/>
        </w:rPr>
        <w:t>申报日期:      年       月      日</w:t>
      </w:r>
    </w:p>
    <w:p>
      <w:pPr>
        <w:spacing w:line="480" w:lineRule="auto"/>
        <w:rPr>
          <w:rFonts w:ascii="仿宋_GB2312" w:hAnsi="黑体" w:eastAsia="仿宋_GB2312"/>
          <w:sz w:val="32"/>
          <w:szCs w:val="32"/>
        </w:rPr>
      </w:pPr>
    </w:p>
    <w:p>
      <w:pPr>
        <w:spacing w:line="480" w:lineRule="auto"/>
        <w:jc w:val="center"/>
        <w:rPr>
          <w:rFonts w:ascii="仿宋_GB2312" w:hAnsi="黑体" w:eastAsia="仿宋_GB2312"/>
          <w:sz w:val="32"/>
          <w:szCs w:val="32"/>
        </w:rPr>
      </w:pPr>
      <w:r>
        <w:rPr>
          <w:rFonts w:hint="eastAsia" w:ascii="仿宋_GB2312" w:hAnsi="黑体" w:eastAsia="仿宋_GB2312"/>
          <w:sz w:val="32"/>
          <w:szCs w:val="32"/>
        </w:rPr>
        <w:t>福建省卫生计生委  制</w:t>
      </w:r>
    </w:p>
    <w:tbl>
      <w:tblPr>
        <w:tblStyle w:val="4"/>
        <w:tblW w:w="8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089"/>
        <w:gridCol w:w="1418"/>
        <w:gridCol w:w="3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130" w:type="dxa"/>
            <w:vAlign w:val="center"/>
          </w:tcPr>
          <w:p>
            <w:pPr>
              <w:spacing w:line="480" w:lineRule="auto"/>
              <w:jc w:val="center"/>
              <w:rPr>
                <w:rFonts w:ascii="仿宋_GB2312" w:hAnsi="黑体" w:eastAsia="仿宋_GB2312"/>
                <w:sz w:val="30"/>
                <w:szCs w:val="30"/>
              </w:rPr>
            </w:pPr>
            <w:r>
              <w:rPr>
                <w:rFonts w:hint="eastAsia" w:ascii="仿宋_GB2312" w:hAnsi="黑体" w:eastAsia="仿宋_GB2312"/>
                <w:sz w:val="30"/>
                <w:szCs w:val="30"/>
              </w:rPr>
              <w:t>县级联系人</w:t>
            </w:r>
          </w:p>
        </w:tc>
        <w:tc>
          <w:tcPr>
            <w:tcW w:w="2089" w:type="dxa"/>
            <w:vAlign w:val="center"/>
          </w:tcPr>
          <w:p>
            <w:pPr>
              <w:spacing w:line="480" w:lineRule="auto"/>
              <w:jc w:val="center"/>
              <w:rPr>
                <w:rFonts w:ascii="仿宋_GB2312" w:hAnsi="黑体" w:eastAsia="仿宋_GB2312"/>
                <w:sz w:val="30"/>
                <w:szCs w:val="30"/>
              </w:rPr>
            </w:pPr>
          </w:p>
        </w:tc>
        <w:tc>
          <w:tcPr>
            <w:tcW w:w="1418" w:type="dxa"/>
            <w:vAlign w:val="center"/>
          </w:tcPr>
          <w:p>
            <w:pPr>
              <w:spacing w:line="480" w:lineRule="auto"/>
              <w:jc w:val="center"/>
              <w:rPr>
                <w:rFonts w:ascii="仿宋_GB2312" w:hAnsi="黑体" w:eastAsia="仿宋_GB2312"/>
                <w:sz w:val="30"/>
                <w:szCs w:val="30"/>
              </w:rPr>
            </w:pPr>
            <w:r>
              <w:rPr>
                <w:rFonts w:hint="eastAsia" w:ascii="仿宋_GB2312" w:hAnsi="黑体" w:eastAsia="仿宋_GB2312"/>
                <w:sz w:val="30"/>
                <w:szCs w:val="30"/>
              </w:rPr>
              <w:t>单位名称</w:t>
            </w:r>
          </w:p>
        </w:tc>
        <w:tc>
          <w:tcPr>
            <w:tcW w:w="3195" w:type="dxa"/>
            <w:vAlign w:val="center"/>
          </w:tcPr>
          <w:p>
            <w:pPr>
              <w:spacing w:line="480" w:lineRule="auto"/>
              <w:jc w:val="center"/>
              <w:rPr>
                <w:rFonts w:ascii="仿宋_GB2312" w:hAnsi="黑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130" w:type="dxa"/>
            <w:vAlign w:val="top"/>
          </w:tcPr>
          <w:p>
            <w:pPr>
              <w:spacing w:line="480" w:lineRule="auto"/>
              <w:jc w:val="center"/>
              <w:rPr>
                <w:rFonts w:ascii="仿宋_GB2312" w:hAnsi="黑体" w:eastAsia="仿宋_GB2312"/>
                <w:sz w:val="30"/>
                <w:szCs w:val="30"/>
              </w:rPr>
            </w:pPr>
            <w:r>
              <w:rPr>
                <w:rFonts w:hint="eastAsia" w:ascii="仿宋_GB2312" w:hAnsi="黑体" w:eastAsia="仿宋_GB2312"/>
                <w:sz w:val="30"/>
                <w:szCs w:val="30"/>
              </w:rPr>
              <w:t>电话</w:t>
            </w:r>
          </w:p>
        </w:tc>
        <w:tc>
          <w:tcPr>
            <w:tcW w:w="2089" w:type="dxa"/>
            <w:vAlign w:val="top"/>
          </w:tcPr>
          <w:p>
            <w:pPr>
              <w:spacing w:line="480" w:lineRule="auto"/>
              <w:jc w:val="center"/>
              <w:rPr>
                <w:rFonts w:ascii="仿宋_GB2312" w:hAnsi="黑体" w:eastAsia="仿宋_GB2312"/>
                <w:sz w:val="30"/>
                <w:szCs w:val="30"/>
              </w:rPr>
            </w:pPr>
          </w:p>
        </w:tc>
        <w:tc>
          <w:tcPr>
            <w:tcW w:w="1418" w:type="dxa"/>
            <w:vAlign w:val="top"/>
          </w:tcPr>
          <w:p>
            <w:pPr>
              <w:spacing w:line="480" w:lineRule="auto"/>
              <w:jc w:val="center"/>
              <w:rPr>
                <w:rFonts w:ascii="仿宋_GB2312" w:hAnsi="黑体" w:eastAsia="仿宋_GB2312"/>
                <w:sz w:val="30"/>
                <w:szCs w:val="30"/>
              </w:rPr>
            </w:pPr>
            <w:r>
              <w:rPr>
                <w:rFonts w:hint="eastAsia" w:ascii="仿宋_GB2312" w:hAnsi="黑体" w:eastAsia="仿宋_GB2312"/>
                <w:sz w:val="30"/>
                <w:szCs w:val="30"/>
              </w:rPr>
              <w:t>传真</w:t>
            </w:r>
          </w:p>
        </w:tc>
        <w:tc>
          <w:tcPr>
            <w:tcW w:w="3195" w:type="dxa"/>
            <w:vAlign w:val="top"/>
          </w:tcPr>
          <w:p>
            <w:pPr>
              <w:spacing w:line="480" w:lineRule="auto"/>
              <w:jc w:val="center"/>
              <w:rPr>
                <w:rFonts w:ascii="仿宋_GB2312" w:hAnsi="黑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130" w:type="dxa"/>
            <w:vAlign w:val="top"/>
          </w:tcPr>
          <w:p>
            <w:pPr>
              <w:spacing w:line="480" w:lineRule="auto"/>
              <w:jc w:val="center"/>
              <w:rPr>
                <w:rFonts w:ascii="仿宋_GB2312" w:hAnsi="黑体" w:eastAsia="仿宋_GB2312"/>
                <w:sz w:val="30"/>
                <w:szCs w:val="30"/>
              </w:rPr>
            </w:pPr>
            <w:r>
              <w:rPr>
                <w:rFonts w:hint="eastAsia" w:ascii="仿宋_GB2312" w:hAnsi="黑体" w:eastAsia="仿宋_GB2312"/>
                <w:sz w:val="30"/>
                <w:szCs w:val="30"/>
              </w:rPr>
              <w:t>电子邮箱</w:t>
            </w:r>
          </w:p>
        </w:tc>
        <w:tc>
          <w:tcPr>
            <w:tcW w:w="6702" w:type="dxa"/>
            <w:gridSpan w:val="3"/>
            <w:vAlign w:val="top"/>
          </w:tcPr>
          <w:p>
            <w:pPr>
              <w:spacing w:line="480" w:lineRule="auto"/>
              <w:jc w:val="center"/>
              <w:rPr>
                <w:rFonts w:ascii="仿宋_GB2312" w:hAnsi="黑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130" w:type="dxa"/>
            <w:vAlign w:val="top"/>
          </w:tcPr>
          <w:p>
            <w:pPr>
              <w:spacing w:line="480" w:lineRule="auto"/>
              <w:jc w:val="center"/>
              <w:rPr>
                <w:rFonts w:ascii="仿宋_GB2312" w:hAnsi="黑体" w:eastAsia="仿宋_GB2312"/>
                <w:sz w:val="30"/>
                <w:szCs w:val="30"/>
              </w:rPr>
            </w:pPr>
            <w:r>
              <w:rPr>
                <w:rFonts w:hint="eastAsia" w:ascii="仿宋_GB2312" w:hAnsi="黑体" w:eastAsia="仿宋_GB2312"/>
                <w:sz w:val="30"/>
                <w:szCs w:val="30"/>
              </w:rPr>
              <w:t>示范区联系人</w:t>
            </w:r>
          </w:p>
        </w:tc>
        <w:tc>
          <w:tcPr>
            <w:tcW w:w="2089" w:type="dxa"/>
            <w:vAlign w:val="top"/>
          </w:tcPr>
          <w:p>
            <w:pPr>
              <w:spacing w:line="480" w:lineRule="auto"/>
              <w:jc w:val="center"/>
              <w:rPr>
                <w:rFonts w:ascii="仿宋_GB2312" w:hAnsi="黑体" w:eastAsia="仿宋_GB2312"/>
                <w:sz w:val="30"/>
                <w:szCs w:val="30"/>
              </w:rPr>
            </w:pPr>
          </w:p>
        </w:tc>
        <w:tc>
          <w:tcPr>
            <w:tcW w:w="1418" w:type="dxa"/>
            <w:vAlign w:val="top"/>
          </w:tcPr>
          <w:p>
            <w:pPr>
              <w:spacing w:line="480" w:lineRule="auto"/>
              <w:jc w:val="center"/>
              <w:rPr>
                <w:rFonts w:ascii="仿宋_GB2312" w:hAnsi="黑体" w:eastAsia="仿宋_GB2312"/>
                <w:sz w:val="30"/>
                <w:szCs w:val="30"/>
              </w:rPr>
            </w:pPr>
            <w:r>
              <w:rPr>
                <w:rFonts w:hint="eastAsia" w:ascii="仿宋_GB2312" w:hAnsi="黑体" w:eastAsia="仿宋_GB2312"/>
                <w:sz w:val="30"/>
                <w:szCs w:val="30"/>
              </w:rPr>
              <w:t>单位名称</w:t>
            </w:r>
          </w:p>
        </w:tc>
        <w:tc>
          <w:tcPr>
            <w:tcW w:w="3195" w:type="dxa"/>
            <w:vAlign w:val="top"/>
          </w:tcPr>
          <w:p>
            <w:pPr>
              <w:spacing w:line="480" w:lineRule="auto"/>
              <w:jc w:val="center"/>
              <w:rPr>
                <w:rFonts w:ascii="仿宋_GB2312" w:hAnsi="黑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130" w:type="dxa"/>
            <w:vAlign w:val="top"/>
          </w:tcPr>
          <w:p>
            <w:pPr>
              <w:spacing w:line="480" w:lineRule="auto"/>
              <w:jc w:val="center"/>
              <w:rPr>
                <w:rFonts w:ascii="仿宋_GB2312" w:hAnsi="黑体" w:eastAsia="仿宋_GB2312"/>
                <w:sz w:val="30"/>
                <w:szCs w:val="30"/>
              </w:rPr>
            </w:pPr>
            <w:r>
              <w:rPr>
                <w:rFonts w:hint="eastAsia" w:ascii="仿宋_GB2312" w:hAnsi="黑体" w:eastAsia="仿宋_GB2312"/>
                <w:sz w:val="30"/>
                <w:szCs w:val="30"/>
              </w:rPr>
              <w:t>电话</w:t>
            </w:r>
          </w:p>
        </w:tc>
        <w:tc>
          <w:tcPr>
            <w:tcW w:w="2089" w:type="dxa"/>
            <w:vAlign w:val="top"/>
          </w:tcPr>
          <w:p>
            <w:pPr>
              <w:spacing w:line="480" w:lineRule="auto"/>
              <w:jc w:val="center"/>
              <w:rPr>
                <w:rFonts w:ascii="仿宋_GB2312" w:hAnsi="黑体" w:eastAsia="仿宋_GB2312"/>
                <w:sz w:val="30"/>
                <w:szCs w:val="30"/>
              </w:rPr>
            </w:pPr>
          </w:p>
        </w:tc>
        <w:tc>
          <w:tcPr>
            <w:tcW w:w="1418" w:type="dxa"/>
            <w:vAlign w:val="top"/>
          </w:tcPr>
          <w:p>
            <w:pPr>
              <w:spacing w:line="480" w:lineRule="auto"/>
              <w:jc w:val="center"/>
              <w:rPr>
                <w:rFonts w:ascii="仿宋_GB2312" w:hAnsi="黑体" w:eastAsia="仿宋_GB2312"/>
                <w:sz w:val="30"/>
                <w:szCs w:val="30"/>
              </w:rPr>
            </w:pPr>
            <w:r>
              <w:rPr>
                <w:rFonts w:hint="eastAsia" w:ascii="仿宋_GB2312" w:hAnsi="黑体" w:eastAsia="仿宋_GB2312"/>
                <w:sz w:val="30"/>
                <w:szCs w:val="30"/>
              </w:rPr>
              <w:t>传真</w:t>
            </w:r>
          </w:p>
        </w:tc>
        <w:tc>
          <w:tcPr>
            <w:tcW w:w="3195" w:type="dxa"/>
            <w:vAlign w:val="top"/>
          </w:tcPr>
          <w:p>
            <w:pPr>
              <w:spacing w:line="480" w:lineRule="auto"/>
              <w:jc w:val="center"/>
              <w:rPr>
                <w:rFonts w:ascii="仿宋_GB2312" w:hAnsi="黑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130" w:type="dxa"/>
            <w:vAlign w:val="top"/>
          </w:tcPr>
          <w:p>
            <w:pPr>
              <w:spacing w:line="480" w:lineRule="auto"/>
              <w:jc w:val="center"/>
              <w:rPr>
                <w:rFonts w:ascii="仿宋_GB2312" w:hAnsi="黑体" w:eastAsia="仿宋_GB2312"/>
                <w:sz w:val="30"/>
                <w:szCs w:val="30"/>
              </w:rPr>
            </w:pPr>
            <w:r>
              <w:rPr>
                <w:rFonts w:hint="eastAsia" w:ascii="仿宋_GB2312" w:hAnsi="黑体" w:eastAsia="仿宋_GB2312"/>
                <w:sz w:val="30"/>
                <w:szCs w:val="30"/>
              </w:rPr>
              <w:t>电子邮箱</w:t>
            </w:r>
          </w:p>
        </w:tc>
        <w:tc>
          <w:tcPr>
            <w:tcW w:w="6702" w:type="dxa"/>
            <w:gridSpan w:val="3"/>
            <w:vAlign w:val="top"/>
          </w:tcPr>
          <w:p>
            <w:pPr>
              <w:spacing w:line="480" w:lineRule="auto"/>
              <w:jc w:val="center"/>
              <w:rPr>
                <w:rFonts w:ascii="仿宋_GB2312" w:hAnsi="黑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1" w:hRule="atLeast"/>
          <w:jc w:val="center"/>
        </w:trPr>
        <w:tc>
          <w:tcPr>
            <w:tcW w:w="2130" w:type="dxa"/>
            <w:vAlign w:val="top"/>
          </w:tcPr>
          <w:p>
            <w:pPr>
              <w:adjustRightInd w:val="0"/>
              <w:snapToGrid w:val="0"/>
              <w:spacing w:beforeLines="0" w:afterLines="0" w:line="360" w:lineRule="auto"/>
              <w:jc w:val="both"/>
              <w:rPr>
                <w:rFonts w:hint="eastAsia" w:ascii="仿宋_GB2312" w:hAnsi="黑体" w:eastAsia="仿宋_GB2312"/>
                <w:sz w:val="30"/>
                <w:szCs w:val="30"/>
              </w:rPr>
            </w:pPr>
          </w:p>
          <w:p>
            <w:pPr>
              <w:adjustRightInd w:val="0"/>
              <w:snapToGrid w:val="0"/>
              <w:spacing w:beforeLines="0" w:afterLines="0" w:line="360" w:lineRule="auto"/>
              <w:jc w:val="center"/>
              <w:rPr>
                <w:rFonts w:ascii="仿宋_GB2312" w:hAnsi="黑体" w:eastAsia="仿宋_GB2312"/>
                <w:sz w:val="30"/>
                <w:szCs w:val="30"/>
              </w:rPr>
            </w:pPr>
            <w:r>
              <w:rPr>
                <w:rFonts w:hint="eastAsia" w:ascii="仿宋_GB2312" w:hAnsi="黑体" w:eastAsia="仿宋_GB2312"/>
                <w:sz w:val="30"/>
                <w:szCs w:val="30"/>
              </w:rPr>
              <w:t>示</w:t>
            </w:r>
          </w:p>
          <w:p>
            <w:pPr>
              <w:adjustRightInd w:val="0"/>
              <w:snapToGrid w:val="0"/>
              <w:spacing w:beforeLines="0" w:afterLines="0" w:line="360" w:lineRule="auto"/>
              <w:jc w:val="center"/>
              <w:rPr>
                <w:rFonts w:ascii="仿宋_GB2312" w:hAnsi="黑体" w:eastAsia="仿宋_GB2312"/>
                <w:sz w:val="30"/>
                <w:szCs w:val="30"/>
              </w:rPr>
            </w:pPr>
            <w:r>
              <w:rPr>
                <w:rFonts w:hint="eastAsia" w:ascii="仿宋_GB2312" w:hAnsi="黑体" w:eastAsia="仿宋_GB2312"/>
                <w:sz w:val="30"/>
                <w:szCs w:val="30"/>
              </w:rPr>
              <w:t>范</w:t>
            </w:r>
          </w:p>
          <w:p>
            <w:pPr>
              <w:adjustRightInd w:val="0"/>
              <w:snapToGrid w:val="0"/>
              <w:spacing w:beforeLines="0" w:afterLines="0" w:line="360" w:lineRule="auto"/>
              <w:jc w:val="center"/>
              <w:rPr>
                <w:rFonts w:ascii="仿宋_GB2312" w:hAnsi="黑体" w:eastAsia="仿宋_GB2312"/>
                <w:sz w:val="30"/>
                <w:szCs w:val="30"/>
              </w:rPr>
            </w:pPr>
            <w:r>
              <w:rPr>
                <w:rFonts w:hint="eastAsia" w:ascii="仿宋_GB2312" w:hAnsi="黑体" w:eastAsia="仿宋_GB2312"/>
                <w:sz w:val="30"/>
                <w:szCs w:val="30"/>
              </w:rPr>
              <w:t>区</w:t>
            </w:r>
          </w:p>
          <w:p>
            <w:pPr>
              <w:adjustRightInd w:val="0"/>
              <w:snapToGrid w:val="0"/>
              <w:spacing w:beforeLines="0" w:afterLines="0" w:line="360" w:lineRule="auto"/>
              <w:jc w:val="center"/>
              <w:rPr>
                <w:rFonts w:ascii="仿宋_GB2312" w:hAnsi="黑体" w:eastAsia="仿宋_GB2312"/>
                <w:sz w:val="30"/>
                <w:szCs w:val="30"/>
              </w:rPr>
            </w:pPr>
            <w:r>
              <w:rPr>
                <w:rFonts w:hint="eastAsia" w:ascii="仿宋_GB2312" w:hAnsi="黑体" w:eastAsia="仿宋_GB2312"/>
                <w:sz w:val="30"/>
                <w:szCs w:val="30"/>
              </w:rPr>
              <w:t>基</w:t>
            </w:r>
          </w:p>
          <w:p>
            <w:pPr>
              <w:adjustRightInd w:val="0"/>
              <w:snapToGrid w:val="0"/>
              <w:spacing w:beforeLines="0" w:afterLines="0" w:line="360" w:lineRule="auto"/>
              <w:jc w:val="center"/>
              <w:rPr>
                <w:rFonts w:ascii="仿宋_GB2312" w:hAnsi="黑体" w:eastAsia="仿宋_GB2312"/>
                <w:sz w:val="30"/>
                <w:szCs w:val="30"/>
              </w:rPr>
            </w:pPr>
            <w:r>
              <w:rPr>
                <w:rFonts w:hint="eastAsia" w:ascii="仿宋_GB2312" w:hAnsi="黑体" w:eastAsia="仿宋_GB2312"/>
                <w:sz w:val="30"/>
                <w:szCs w:val="30"/>
              </w:rPr>
              <w:t>本</w:t>
            </w:r>
          </w:p>
          <w:p>
            <w:pPr>
              <w:adjustRightInd w:val="0"/>
              <w:snapToGrid w:val="0"/>
              <w:spacing w:beforeLines="0" w:afterLines="0" w:line="360" w:lineRule="auto"/>
              <w:jc w:val="center"/>
              <w:rPr>
                <w:rFonts w:ascii="仿宋_GB2312" w:hAnsi="黑体" w:eastAsia="仿宋_GB2312"/>
                <w:sz w:val="30"/>
                <w:szCs w:val="30"/>
              </w:rPr>
            </w:pPr>
            <w:r>
              <w:rPr>
                <w:rFonts w:hint="eastAsia" w:ascii="仿宋_GB2312" w:hAnsi="黑体" w:eastAsia="仿宋_GB2312"/>
                <w:sz w:val="30"/>
                <w:szCs w:val="30"/>
              </w:rPr>
              <w:t>情</w:t>
            </w:r>
          </w:p>
          <w:p>
            <w:pPr>
              <w:adjustRightInd w:val="0"/>
              <w:snapToGrid w:val="0"/>
              <w:spacing w:beforeLines="0" w:afterLines="0" w:line="360" w:lineRule="auto"/>
              <w:jc w:val="center"/>
              <w:rPr>
                <w:rFonts w:ascii="仿宋_GB2312" w:hAnsi="黑体" w:eastAsia="仿宋_GB2312"/>
                <w:sz w:val="30"/>
                <w:szCs w:val="30"/>
              </w:rPr>
            </w:pPr>
            <w:r>
              <w:rPr>
                <w:rFonts w:hint="eastAsia" w:ascii="仿宋_GB2312" w:hAnsi="黑体" w:eastAsia="仿宋_GB2312"/>
                <w:sz w:val="30"/>
                <w:szCs w:val="30"/>
              </w:rPr>
              <w:t>况</w:t>
            </w:r>
          </w:p>
        </w:tc>
        <w:tc>
          <w:tcPr>
            <w:tcW w:w="6702" w:type="dxa"/>
            <w:gridSpan w:val="3"/>
            <w:vAlign w:val="top"/>
          </w:tcPr>
          <w:p>
            <w:pPr>
              <w:spacing w:line="480" w:lineRule="auto"/>
              <w:jc w:val="left"/>
              <w:rPr>
                <w:rFonts w:ascii="仿宋_GB2312" w:hAnsi="黑体" w:eastAsia="仿宋_GB2312"/>
                <w:sz w:val="28"/>
                <w:szCs w:val="28"/>
              </w:rPr>
            </w:pPr>
            <w:r>
              <w:rPr>
                <w:rFonts w:hint="eastAsia" w:ascii="仿宋_GB2312" w:hAnsi="黑体" w:eastAsia="仿宋_GB2312"/>
                <w:sz w:val="28"/>
                <w:szCs w:val="28"/>
              </w:rPr>
              <w:t>(包括示范区社会经济状况、人口统计学资料、医疗卫生服务资源等背景资料)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9" w:hRule="atLeast"/>
          <w:jc w:val="center"/>
        </w:trPr>
        <w:tc>
          <w:tcPr>
            <w:tcW w:w="2130" w:type="dxa"/>
            <w:vAlign w:val="top"/>
          </w:tcPr>
          <w:p>
            <w:pPr>
              <w:adjustRightInd w:val="0"/>
              <w:snapToGrid w:val="0"/>
              <w:spacing w:beforeLines="0" w:afterLines="0" w:line="360" w:lineRule="auto"/>
              <w:jc w:val="both"/>
              <w:rPr>
                <w:rFonts w:hint="eastAsia" w:ascii="仿宋_GB2312" w:hAnsi="黑体" w:eastAsia="仿宋_GB2312"/>
                <w:sz w:val="32"/>
                <w:szCs w:val="32"/>
              </w:rPr>
            </w:pPr>
          </w:p>
          <w:p>
            <w:pPr>
              <w:adjustRightInd w:val="0"/>
              <w:snapToGrid w:val="0"/>
              <w:spacing w:beforeLines="0" w:afterLines="0" w:line="360" w:lineRule="auto"/>
              <w:jc w:val="center"/>
              <w:rPr>
                <w:rFonts w:ascii="仿宋_GB2312" w:hAnsi="黑体" w:eastAsia="仿宋_GB2312"/>
                <w:sz w:val="32"/>
                <w:szCs w:val="32"/>
              </w:rPr>
            </w:pPr>
            <w:r>
              <w:rPr>
                <w:rFonts w:hint="eastAsia" w:ascii="仿宋_GB2312" w:hAnsi="黑体" w:eastAsia="仿宋_GB2312"/>
                <w:sz w:val="32"/>
                <w:szCs w:val="32"/>
              </w:rPr>
              <w:t>示</w:t>
            </w:r>
          </w:p>
          <w:p>
            <w:pPr>
              <w:adjustRightInd w:val="0"/>
              <w:snapToGrid w:val="0"/>
              <w:spacing w:beforeLines="0" w:afterLines="0" w:line="360" w:lineRule="auto"/>
              <w:jc w:val="center"/>
              <w:rPr>
                <w:rFonts w:ascii="仿宋_GB2312" w:hAnsi="黑体" w:eastAsia="仿宋_GB2312"/>
                <w:sz w:val="32"/>
                <w:szCs w:val="32"/>
              </w:rPr>
            </w:pPr>
            <w:r>
              <w:rPr>
                <w:rFonts w:hint="eastAsia" w:ascii="仿宋_GB2312" w:hAnsi="黑体" w:eastAsia="仿宋_GB2312"/>
                <w:sz w:val="32"/>
                <w:szCs w:val="32"/>
              </w:rPr>
              <w:t>范</w:t>
            </w:r>
          </w:p>
          <w:p>
            <w:pPr>
              <w:adjustRightInd w:val="0"/>
              <w:snapToGrid w:val="0"/>
              <w:spacing w:beforeLines="0" w:afterLines="0" w:line="360" w:lineRule="auto"/>
              <w:jc w:val="center"/>
              <w:rPr>
                <w:rFonts w:ascii="仿宋_GB2312" w:hAnsi="黑体" w:eastAsia="仿宋_GB2312"/>
                <w:sz w:val="32"/>
                <w:szCs w:val="32"/>
              </w:rPr>
            </w:pPr>
            <w:r>
              <w:rPr>
                <w:rFonts w:hint="eastAsia" w:ascii="仿宋_GB2312" w:hAnsi="黑体" w:eastAsia="仿宋_GB2312"/>
                <w:sz w:val="32"/>
                <w:szCs w:val="32"/>
              </w:rPr>
              <w:t>区</w:t>
            </w:r>
          </w:p>
          <w:p>
            <w:pPr>
              <w:adjustRightInd w:val="0"/>
              <w:snapToGrid w:val="0"/>
              <w:spacing w:beforeLines="0" w:afterLines="0" w:line="360" w:lineRule="auto"/>
              <w:jc w:val="center"/>
              <w:rPr>
                <w:rFonts w:ascii="仿宋_GB2312" w:hAnsi="黑体" w:eastAsia="仿宋_GB2312"/>
                <w:sz w:val="32"/>
                <w:szCs w:val="32"/>
              </w:rPr>
            </w:pPr>
            <w:r>
              <w:rPr>
                <w:rFonts w:hint="eastAsia" w:ascii="仿宋_GB2312" w:hAnsi="黑体" w:eastAsia="仿宋_GB2312"/>
                <w:sz w:val="32"/>
                <w:szCs w:val="32"/>
              </w:rPr>
              <w:t>建</w:t>
            </w:r>
          </w:p>
          <w:p>
            <w:pPr>
              <w:adjustRightInd w:val="0"/>
              <w:snapToGrid w:val="0"/>
              <w:spacing w:beforeLines="0" w:afterLines="0" w:line="360" w:lineRule="auto"/>
              <w:jc w:val="center"/>
              <w:rPr>
                <w:rFonts w:ascii="仿宋_GB2312" w:hAnsi="黑体" w:eastAsia="仿宋_GB2312"/>
                <w:sz w:val="32"/>
                <w:szCs w:val="32"/>
              </w:rPr>
            </w:pPr>
            <w:r>
              <w:rPr>
                <w:rFonts w:hint="eastAsia" w:ascii="仿宋_GB2312" w:hAnsi="黑体" w:eastAsia="仿宋_GB2312"/>
                <w:sz w:val="32"/>
                <w:szCs w:val="32"/>
              </w:rPr>
              <w:t>设</w:t>
            </w:r>
          </w:p>
          <w:p>
            <w:pPr>
              <w:adjustRightInd w:val="0"/>
              <w:snapToGrid w:val="0"/>
              <w:spacing w:beforeLines="0" w:afterLines="0" w:line="360" w:lineRule="auto"/>
              <w:jc w:val="center"/>
              <w:rPr>
                <w:rFonts w:ascii="仿宋_GB2312" w:hAnsi="黑体" w:eastAsia="仿宋_GB2312"/>
                <w:sz w:val="32"/>
                <w:szCs w:val="32"/>
              </w:rPr>
            </w:pPr>
            <w:r>
              <w:rPr>
                <w:rFonts w:hint="eastAsia" w:ascii="仿宋_GB2312" w:hAnsi="黑体" w:eastAsia="仿宋_GB2312"/>
                <w:sz w:val="32"/>
                <w:szCs w:val="32"/>
              </w:rPr>
              <w:t>情</w:t>
            </w:r>
          </w:p>
          <w:p>
            <w:pPr>
              <w:adjustRightInd w:val="0"/>
              <w:snapToGrid w:val="0"/>
              <w:spacing w:beforeLines="0" w:afterLines="0" w:line="360" w:lineRule="auto"/>
              <w:jc w:val="center"/>
              <w:rPr>
                <w:rFonts w:ascii="仿宋_GB2312" w:hAnsi="黑体" w:eastAsia="仿宋_GB2312"/>
                <w:sz w:val="32"/>
                <w:szCs w:val="32"/>
              </w:rPr>
            </w:pPr>
            <w:r>
              <w:rPr>
                <w:rFonts w:hint="eastAsia" w:ascii="仿宋_GB2312" w:hAnsi="黑体" w:eastAsia="仿宋_GB2312"/>
                <w:sz w:val="32"/>
                <w:szCs w:val="32"/>
              </w:rPr>
              <w:t>况</w:t>
            </w:r>
          </w:p>
        </w:tc>
        <w:tc>
          <w:tcPr>
            <w:tcW w:w="6702" w:type="dxa"/>
            <w:gridSpan w:val="3"/>
            <w:vAlign w:val="top"/>
          </w:tcPr>
          <w:p>
            <w:pPr>
              <w:spacing w:line="480" w:lineRule="auto"/>
              <w:jc w:val="left"/>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top"/>
          </w:tcPr>
          <w:p>
            <w:pPr>
              <w:adjustRightInd w:val="0"/>
              <w:snapToGrid w:val="0"/>
              <w:spacing w:beforeLines="0" w:afterLines="0" w:line="360" w:lineRule="auto"/>
              <w:jc w:val="center"/>
              <w:rPr>
                <w:rFonts w:ascii="仿宋_GB2312" w:hAnsi="黑体" w:eastAsia="仿宋_GB2312"/>
                <w:sz w:val="32"/>
                <w:szCs w:val="32"/>
              </w:rPr>
            </w:pPr>
            <w:r>
              <w:rPr>
                <w:rFonts w:hint="eastAsia" w:ascii="仿宋_GB2312" w:hAnsi="黑体" w:eastAsia="仿宋_GB2312"/>
                <w:sz w:val="32"/>
                <w:szCs w:val="32"/>
              </w:rPr>
              <w:t>市</w:t>
            </w:r>
          </w:p>
          <w:p>
            <w:pPr>
              <w:adjustRightInd w:val="0"/>
              <w:snapToGrid w:val="0"/>
              <w:spacing w:beforeLines="0" w:afterLines="0" w:line="360" w:lineRule="auto"/>
              <w:jc w:val="center"/>
              <w:rPr>
                <w:rFonts w:ascii="仿宋_GB2312" w:hAnsi="黑体" w:eastAsia="仿宋_GB2312"/>
                <w:sz w:val="32"/>
                <w:szCs w:val="32"/>
              </w:rPr>
            </w:pPr>
            <w:r>
              <w:rPr>
                <w:rFonts w:hint="eastAsia" w:ascii="仿宋_GB2312" w:hAnsi="黑体" w:eastAsia="仿宋_GB2312"/>
                <w:sz w:val="32"/>
                <w:szCs w:val="32"/>
              </w:rPr>
              <w:t>级</w:t>
            </w:r>
          </w:p>
          <w:p>
            <w:pPr>
              <w:adjustRightInd w:val="0"/>
              <w:snapToGrid w:val="0"/>
              <w:spacing w:beforeLines="0" w:afterLines="0" w:line="360" w:lineRule="auto"/>
              <w:jc w:val="center"/>
              <w:rPr>
                <w:rFonts w:ascii="仿宋_GB2312" w:hAnsi="黑体" w:eastAsia="仿宋_GB2312"/>
                <w:sz w:val="32"/>
                <w:szCs w:val="32"/>
              </w:rPr>
            </w:pPr>
            <w:r>
              <w:rPr>
                <w:rFonts w:hint="eastAsia" w:ascii="仿宋_GB2312" w:hAnsi="黑体" w:eastAsia="仿宋_GB2312"/>
                <w:sz w:val="32"/>
                <w:szCs w:val="32"/>
              </w:rPr>
              <w:t>评</w:t>
            </w:r>
          </w:p>
          <w:p>
            <w:pPr>
              <w:adjustRightInd w:val="0"/>
              <w:snapToGrid w:val="0"/>
              <w:spacing w:beforeLines="0" w:afterLines="0" w:line="360" w:lineRule="auto"/>
              <w:jc w:val="center"/>
              <w:rPr>
                <w:rFonts w:ascii="仿宋_GB2312" w:hAnsi="黑体" w:eastAsia="仿宋_GB2312"/>
                <w:sz w:val="32"/>
                <w:szCs w:val="32"/>
              </w:rPr>
            </w:pPr>
            <w:r>
              <w:rPr>
                <w:rFonts w:hint="eastAsia" w:ascii="仿宋_GB2312" w:hAnsi="黑体" w:eastAsia="仿宋_GB2312"/>
                <w:sz w:val="32"/>
                <w:szCs w:val="32"/>
              </w:rPr>
              <w:t>价</w:t>
            </w:r>
          </w:p>
          <w:p>
            <w:pPr>
              <w:adjustRightInd w:val="0"/>
              <w:snapToGrid w:val="0"/>
              <w:spacing w:beforeLines="0" w:afterLines="0" w:line="360" w:lineRule="auto"/>
              <w:jc w:val="center"/>
              <w:rPr>
                <w:rFonts w:ascii="仿宋_GB2312" w:hAnsi="黑体" w:eastAsia="仿宋_GB2312"/>
                <w:sz w:val="32"/>
                <w:szCs w:val="32"/>
              </w:rPr>
            </w:pPr>
            <w:r>
              <w:rPr>
                <w:rFonts w:hint="eastAsia" w:ascii="仿宋_GB2312" w:hAnsi="黑体" w:eastAsia="仿宋_GB2312"/>
                <w:sz w:val="32"/>
                <w:szCs w:val="32"/>
              </w:rPr>
              <w:t>情</w:t>
            </w:r>
          </w:p>
          <w:p>
            <w:pPr>
              <w:adjustRightInd w:val="0"/>
              <w:snapToGrid w:val="0"/>
              <w:spacing w:beforeLines="0" w:afterLines="0" w:line="360" w:lineRule="auto"/>
              <w:jc w:val="center"/>
              <w:rPr>
                <w:rFonts w:ascii="仿宋_GB2312" w:hAnsi="黑体" w:eastAsia="仿宋_GB2312"/>
                <w:sz w:val="32"/>
                <w:szCs w:val="32"/>
              </w:rPr>
            </w:pPr>
            <w:r>
              <w:rPr>
                <w:rFonts w:hint="eastAsia" w:ascii="仿宋_GB2312" w:hAnsi="黑体" w:eastAsia="仿宋_GB2312"/>
                <w:sz w:val="32"/>
                <w:szCs w:val="32"/>
              </w:rPr>
              <w:t>况</w:t>
            </w:r>
          </w:p>
        </w:tc>
        <w:tc>
          <w:tcPr>
            <w:tcW w:w="6702" w:type="dxa"/>
            <w:gridSpan w:val="3"/>
            <w:vAlign w:val="top"/>
          </w:tcPr>
          <w:p>
            <w:pPr>
              <w:spacing w:line="480" w:lineRule="auto"/>
              <w:jc w:val="left"/>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jc w:val="center"/>
        </w:trPr>
        <w:tc>
          <w:tcPr>
            <w:tcW w:w="2130" w:type="dxa"/>
            <w:vAlign w:val="center"/>
          </w:tcPr>
          <w:p>
            <w:pPr>
              <w:adjustRightInd w:val="0"/>
              <w:snapToGrid w:val="0"/>
              <w:spacing w:beforeLines="0" w:afterLines="0" w:line="240" w:lineRule="auto"/>
              <w:jc w:val="center"/>
              <w:rPr>
                <w:rFonts w:ascii="仿宋_GB2312" w:hAnsi="黑体" w:eastAsia="仿宋_GB2312"/>
                <w:sz w:val="32"/>
                <w:szCs w:val="32"/>
              </w:rPr>
            </w:pPr>
            <w:r>
              <w:rPr>
                <w:rFonts w:hint="eastAsia" w:ascii="仿宋_GB2312" w:hAnsi="黑体" w:eastAsia="仿宋_GB2312"/>
                <w:sz w:val="32"/>
                <w:szCs w:val="32"/>
              </w:rPr>
              <w:t>市级卫生计生行政部门意见</w:t>
            </w:r>
          </w:p>
        </w:tc>
        <w:tc>
          <w:tcPr>
            <w:tcW w:w="6702" w:type="dxa"/>
            <w:gridSpan w:val="3"/>
            <w:vAlign w:val="top"/>
          </w:tcPr>
          <w:p>
            <w:pPr>
              <w:spacing w:line="240" w:lineRule="auto"/>
              <w:jc w:val="left"/>
              <w:rPr>
                <w:rFonts w:ascii="仿宋_GB2312" w:hAnsi="黑体" w:eastAsia="仿宋_GB2312"/>
                <w:sz w:val="28"/>
                <w:szCs w:val="28"/>
              </w:rPr>
            </w:pPr>
          </w:p>
          <w:p>
            <w:pPr>
              <w:spacing w:line="240" w:lineRule="auto"/>
              <w:jc w:val="left"/>
              <w:rPr>
                <w:rFonts w:ascii="仿宋_GB2312" w:hAnsi="黑体" w:eastAsia="仿宋_GB2312"/>
                <w:sz w:val="28"/>
                <w:szCs w:val="28"/>
              </w:rPr>
            </w:pPr>
          </w:p>
          <w:p>
            <w:pPr>
              <w:spacing w:line="240" w:lineRule="auto"/>
              <w:jc w:val="left"/>
              <w:rPr>
                <w:rFonts w:ascii="仿宋_GB2312" w:hAnsi="黑体" w:eastAsia="仿宋_GB2312"/>
                <w:sz w:val="28"/>
                <w:szCs w:val="28"/>
              </w:rPr>
            </w:pPr>
          </w:p>
          <w:p>
            <w:pPr>
              <w:spacing w:line="240" w:lineRule="auto"/>
              <w:ind w:firstLine="4200" w:firstLineChars="1500"/>
              <w:jc w:val="left"/>
              <w:rPr>
                <w:rFonts w:ascii="仿宋_GB2312" w:hAnsi="黑体" w:eastAsia="仿宋_GB2312"/>
                <w:sz w:val="28"/>
                <w:szCs w:val="28"/>
              </w:rPr>
            </w:pPr>
            <w:r>
              <w:rPr>
                <w:rFonts w:hint="eastAsia" w:ascii="仿宋_GB2312" w:hAnsi="黑体" w:eastAsia="仿宋_GB2312"/>
                <w:sz w:val="28"/>
                <w:szCs w:val="28"/>
              </w:rPr>
              <w:t>单位公章</w:t>
            </w:r>
          </w:p>
          <w:p>
            <w:pPr>
              <w:spacing w:line="240" w:lineRule="auto"/>
              <w:jc w:val="right"/>
              <w:rPr>
                <w:rFonts w:ascii="仿宋_GB2312" w:hAnsi="黑体" w:eastAsia="仿宋_GB2312"/>
                <w:sz w:val="28"/>
                <w:szCs w:val="28"/>
              </w:rPr>
            </w:pPr>
            <w:r>
              <w:rPr>
                <w:rFonts w:hint="eastAsia" w:ascii="仿宋_GB2312" w:hAnsi="黑体" w:eastAsia="仿宋_GB2312"/>
                <w:sz w:val="28"/>
                <w:szCs w:val="28"/>
              </w:rPr>
              <w:t>年    月    日</w:t>
            </w:r>
          </w:p>
        </w:tc>
      </w:tr>
    </w:tbl>
    <w:p/>
    <w:p>
      <w:pPr>
        <w:rPr>
          <w:rFonts w:hint="eastAsia" w:ascii="黑体" w:hAnsi="黑体" w:eastAsia="黑体"/>
          <w:sz w:val="28"/>
          <w:szCs w:val="28"/>
        </w:rPr>
        <w:sectPr>
          <w:headerReference r:id="rId3" w:type="default"/>
          <w:footerReference r:id="rId4" w:type="default"/>
          <w:footerReference r:id="rId5" w:type="even"/>
          <w:pgSz w:w="11906" w:h="16838"/>
          <w:pgMar w:top="1984" w:right="1474" w:bottom="1871" w:left="1587" w:header="851" w:footer="1417" w:gutter="0"/>
          <w:pgBorders>
            <w:top w:val="none" w:sz="0" w:space="0"/>
            <w:left w:val="none" w:sz="0" w:space="0"/>
            <w:bottom w:val="none" w:sz="0" w:space="0"/>
            <w:right w:val="none" w:sz="0" w:space="0"/>
          </w:pgBorders>
          <w:pgNumType w:fmt="decimal" w:start="2"/>
          <w:cols w:space="720" w:num="1"/>
          <w:rtlGutter w:val="0"/>
          <w:docGrid w:type="lines" w:linePitch="590" w:charSpace="0"/>
        </w:sectPr>
      </w:pPr>
    </w:p>
    <w:p>
      <w:pPr>
        <w:rPr>
          <w:rFonts w:ascii="黑体" w:hAnsi="黑体" w:eastAsia="黑体"/>
          <w:sz w:val="28"/>
          <w:szCs w:val="28"/>
        </w:rPr>
      </w:pPr>
      <w:r>
        <w:rPr>
          <w:rFonts w:hint="eastAsia" w:ascii="黑体" w:hAnsi="黑体" w:eastAsia="黑体"/>
          <w:sz w:val="28"/>
          <w:szCs w:val="28"/>
        </w:rPr>
        <w:t>附件</w:t>
      </w:r>
      <w:r>
        <w:rPr>
          <w:rFonts w:hint="eastAsia" w:ascii="黑体" w:hAnsi="黑体" w:eastAsia="黑体"/>
          <w:sz w:val="28"/>
          <w:szCs w:val="28"/>
          <w:lang w:val="en-US" w:eastAsia="zh-CN"/>
        </w:rPr>
        <w:t>3</w:t>
      </w:r>
    </w:p>
    <w:p>
      <w:pPr>
        <w:widowControl/>
        <w:ind w:right="-210" w:rightChars="-100"/>
        <w:jc w:val="center"/>
        <w:rPr>
          <w:rFonts w:hint="eastAsia" w:ascii="宋体" w:hAnsi="宋体" w:cs="宋体"/>
          <w:b/>
          <w:bCs/>
          <w:color w:val="000000"/>
          <w:kern w:val="0"/>
          <w:sz w:val="44"/>
        </w:rPr>
      </w:pPr>
      <w:r>
        <w:rPr>
          <w:rFonts w:hint="eastAsia" w:ascii="宋体" w:hAnsi="宋体" w:cs="宋体"/>
          <w:b/>
          <w:bCs/>
          <w:color w:val="000000"/>
          <w:kern w:val="0"/>
          <w:sz w:val="44"/>
        </w:rPr>
        <w:t>福建省申报国家慢性病综合防控示范区建设指标体系（试行）</w:t>
      </w:r>
    </w:p>
    <w:tbl>
      <w:tblPr>
        <w:tblStyle w:val="4"/>
        <w:tblW w:w="14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975"/>
        <w:gridCol w:w="2260"/>
        <w:gridCol w:w="6197"/>
        <w:gridCol w:w="956"/>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Align w:val="center"/>
          </w:tcPr>
          <w:p>
            <w:pPr>
              <w:widowControl/>
              <w:adjustRightInd w:val="0"/>
              <w:snapToGrid w:val="0"/>
              <w:spacing w:beforeLines="0" w:afterLines="0" w:line="400" w:lineRule="exact"/>
              <w:jc w:val="center"/>
              <w:rPr>
                <w:rFonts w:ascii="宋体" w:hAnsi="宋体" w:cs="宋体"/>
                <w:b/>
                <w:kern w:val="0"/>
                <w:sz w:val="32"/>
                <w:szCs w:val="32"/>
              </w:rPr>
            </w:pPr>
            <w:r>
              <w:rPr>
                <w:rFonts w:hint="eastAsia" w:ascii="宋体" w:hAnsi="宋体" w:cs="宋体"/>
                <w:b/>
                <w:kern w:val="0"/>
                <w:sz w:val="32"/>
                <w:szCs w:val="32"/>
              </w:rPr>
              <w:t>指标分类</w:t>
            </w:r>
          </w:p>
        </w:tc>
        <w:tc>
          <w:tcPr>
            <w:tcW w:w="1975" w:type="dxa"/>
            <w:vAlign w:val="center"/>
          </w:tcPr>
          <w:p>
            <w:pPr>
              <w:widowControl/>
              <w:adjustRightInd w:val="0"/>
              <w:snapToGrid w:val="0"/>
              <w:spacing w:beforeLines="0" w:afterLines="0" w:line="400" w:lineRule="exact"/>
              <w:jc w:val="center"/>
              <w:rPr>
                <w:rFonts w:ascii="宋体" w:hAnsi="宋体" w:cs="宋体"/>
                <w:b/>
                <w:kern w:val="0"/>
                <w:sz w:val="32"/>
                <w:szCs w:val="32"/>
              </w:rPr>
            </w:pPr>
            <w:r>
              <w:rPr>
                <w:rFonts w:hint="eastAsia" w:ascii="宋体" w:hAnsi="宋体" w:cs="宋体"/>
                <w:b/>
                <w:kern w:val="0"/>
                <w:sz w:val="32"/>
                <w:szCs w:val="32"/>
              </w:rPr>
              <w:t>指标内容</w:t>
            </w:r>
          </w:p>
        </w:tc>
        <w:tc>
          <w:tcPr>
            <w:tcW w:w="2260" w:type="dxa"/>
            <w:vAlign w:val="center"/>
          </w:tcPr>
          <w:p>
            <w:pPr>
              <w:widowControl/>
              <w:adjustRightInd w:val="0"/>
              <w:snapToGrid w:val="0"/>
              <w:spacing w:beforeLines="0" w:afterLines="0" w:line="400" w:lineRule="exact"/>
              <w:jc w:val="center"/>
              <w:rPr>
                <w:rFonts w:ascii="宋体" w:hAnsi="宋体" w:cs="宋体"/>
                <w:b/>
                <w:kern w:val="0"/>
                <w:sz w:val="32"/>
                <w:szCs w:val="32"/>
              </w:rPr>
            </w:pPr>
            <w:r>
              <w:rPr>
                <w:rFonts w:hint="eastAsia" w:ascii="宋体" w:hAnsi="宋体" w:cs="宋体"/>
                <w:b/>
                <w:kern w:val="0"/>
                <w:sz w:val="32"/>
                <w:szCs w:val="32"/>
              </w:rPr>
              <w:t>指标要求</w:t>
            </w:r>
          </w:p>
        </w:tc>
        <w:tc>
          <w:tcPr>
            <w:tcW w:w="6197" w:type="dxa"/>
            <w:vAlign w:val="center"/>
          </w:tcPr>
          <w:p>
            <w:pPr>
              <w:widowControl/>
              <w:adjustRightInd w:val="0"/>
              <w:snapToGrid w:val="0"/>
              <w:spacing w:beforeLines="0" w:afterLines="0" w:line="400" w:lineRule="exact"/>
              <w:jc w:val="center"/>
              <w:rPr>
                <w:rFonts w:ascii="宋体" w:hAnsi="宋体" w:cs="宋体"/>
                <w:b/>
                <w:kern w:val="0"/>
                <w:sz w:val="32"/>
                <w:szCs w:val="32"/>
              </w:rPr>
            </w:pPr>
            <w:r>
              <w:rPr>
                <w:rFonts w:hint="eastAsia" w:ascii="宋体" w:hAnsi="宋体" w:cs="宋体"/>
                <w:b/>
                <w:kern w:val="0"/>
                <w:sz w:val="32"/>
                <w:szCs w:val="32"/>
              </w:rPr>
              <w:t>赋分标准</w:t>
            </w:r>
          </w:p>
        </w:tc>
        <w:tc>
          <w:tcPr>
            <w:tcW w:w="956" w:type="dxa"/>
            <w:vAlign w:val="center"/>
          </w:tcPr>
          <w:p>
            <w:pPr>
              <w:widowControl/>
              <w:adjustRightInd w:val="0"/>
              <w:snapToGrid w:val="0"/>
              <w:spacing w:beforeLines="0" w:afterLines="0" w:line="400" w:lineRule="exact"/>
              <w:jc w:val="center"/>
              <w:rPr>
                <w:rFonts w:ascii="宋体" w:hAnsi="宋体" w:cs="宋体"/>
                <w:b/>
                <w:kern w:val="0"/>
                <w:sz w:val="32"/>
                <w:szCs w:val="32"/>
              </w:rPr>
            </w:pPr>
            <w:r>
              <w:rPr>
                <w:rFonts w:hint="eastAsia" w:ascii="宋体" w:hAnsi="宋体" w:cs="宋体"/>
                <w:b/>
                <w:kern w:val="0"/>
                <w:sz w:val="32"/>
                <w:szCs w:val="32"/>
              </w:rPr>
              <w:t>权重分值</w:t>
            </w:r>
          </w:p>
        </w:tc>
        <w:tc>
          <w:tcPr>
            <w:tcW w:w="2289" w:type="dxa"/>
            <w:vAlign w:val="center"/>
          </w:tcPr>
          <w:p>
            <w:pPr>
              <w:widowControl/>
              <w:adjustRightInd w:val="0"/>
              <w:snapToGrid w:val="0"/>
              <w:spacing w:beforeLines="0" w:afterLines="0" w:line="400" w:lineRule="exact"/>
              <w:jc w:val="center"/>
              <w:rPr>
                <w:rFonts w:ascii="宋体" w:hAnsi="宋体" w:cs="宋体"/>
                <w:b/>
                <w:kern w:val="0"/>
                <w:sz w:val="32"/>
                <w:szCs w:val="32"/>
              </w:rPr>
            </w:pPr>
            <w:r>
              <w:rPr>
                <w:rFonts w:hint="eastAsia" w:ascii="宋体" w:hAnsi="宋体" w:cs="宋体"/>
                <w:b/>
                <w:kern w:val="0"/>
                <w:sz w:val="32"/>
                <w:szCs w:val="32"/>
              </w:rPr>
              <w:t>评价办法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restart"/>
            <w:vAlign w:val="center"/>
          </w:tcPr>
          <w:p>
            <w:pPr>
              <w:jc w:val="center"/>
              <w:rPr>
                <w:rFonts w:ascii="仿宋_GB2312" w:eastAsia="仿宋_GB2312"/>
                <w:sz w:val="28"/>
                <w:szCs w:val="28"/>
              </w:rPr>
            </w:pPr>
            <w:r>
              <w:rPr>
                <w:rFonts w:hint="eastAsia" w:ascii="仿宋_GB2312" w:eastAsia="仿宋_GB2312"/>
                <w:sz w:val="28"/>
                <w:szCs w:val="28"/>
              </w:rPr>
              <w:t>一、政策完善</w:t>
            </w:r>
          </w:p>
          <w:p>
            <w:pPr>
              <w:jc w:val="center"/>
              <w:rPr>
                <w:rFonts w:ascii="仿宋_GB2312" w:eastAsia="仿宋_GB2312"/>
              </w:rPr>
            </w:pPr>
            <w:r>
              <w:rPr>
                <w:rFonts w:hint="eastAsia" w:ascii="仿宋_GB2312" w:eastAsia="仿宋_GB2312"/>
                <w:sz w:val="28"/>
                <w:szCs w:val="28"/>
              </w:rPr>
              <w:t>（45分）</w:t>
            </w:r>
          </w:p>
        </w:tc>
        <w:tc>
          <w:tcPr>
            <w:tcW w:w="1975" w:type="dxa"/>
            <w:vMerge w:val="restart"/>
            <w:vAlign w:val="center"/>
          </w:tcPr>
          <w:p>
            <w:pPr>
              <w:jc w:val="left"/>
              <w:rPr>
                <w:rFonts w:ascii="仿宋_GB2312" w:eastAsia="仿宋_GB2312"/>
                <w:sz w:val="28"/>
                <w:szCs w:val="28"/>
              </w:rPr>
            </w:pPr>
            <w:r>
              <w:rPr>
                <w:rFonts w:hint="eastAsia" w:ascii="仿宋_GB2312" w:eastAsia="仿宋_GB2312"/>
                <w:sz w:val="28"/>
                <w:szCs w:val="28"/>
              </w:rPr>
              <w:t>（一）发挥政府主导作用，建立多部门协作联动机制。</w:t>
            </w:r>
          </w:p>
          <w:p>
            <w:pPr>
              <w:jc w:val="left"/>
              <w:rPr>
                <w:rFonts w:ascii="仿宋_GB2312" w:eastAsia="仿宋_GB2312"/>
                <w:sz w:val="28"/>
                <w:szCs w:val="28"/>
              </w:rPr>
            </w:pPr>
            <w:r>
              <w:rPr>
                <w:rFonts w:hint="eastAsia" w:ascii="仿宋_GB2312" w:eastAsia="仿宋_GB2312"/>
                <w:sz w:val="28"/>
                <w:szCs w:val="28"/>
              </w:rPr>
              <w:t>（25分）</w:t>
            </w: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1.辖区政府成立示范区建设领导小组，明确部门职责，建立完善的信息反馈沟通制度。</w:t>
            </w:r>
          </w:p>
        </w:tc>
        <w:tc>
          <w:tcPr>
            <w:tcW w:w="6197" w:type="dxa"/>
            <w:vAlign w:val="top"/>
          </w:tcPr>
          <w:p>
            <w:pPr>
              <w:rPr>
                <w:rFonts w:ascii="仿宋_GB2312" w:eastAsia="仿宋_GB2312"/>
                <w:sz w:val="24"/>
                <w:szCs w:val="24"/>
              </w:rPr>
            </w:pPr>
            <w:r>
              <w:rPr>
                <w:rFonts w:hint="eastAsia" w:ascii="仿宋_GB2312" w:eastAsia="仿宋_GB2312"/>
                <w:sz w:val="24"/>
                <w:szCs w:val="24"/>
              </w:rPr>
              <w:t>（1）成立辖区示范区建设领导小组，政府主要领导任组长，明确各部门职责，</w:t>
            </w:r>
            <w:r>
              <w:rPr>
                <w:rFonts w:hint="eastAsia" w:ascii="仿宋_GB2312" w:eastAsia="仿宋_GB2312"/>
                <w:sz w:val="24"/>
                <w:szCs w:val="24"/>
                <w:lang w:eastAsia="zh-CN"/>
              </w:rPr>
              <w:t>共得</w:t>
            </w:r>
            <w:r>
              <w:rPr>
                <w:rFonts w:hint="eastAsia" w:ascii="仿宋_GB2312" w:eastAsia="仿宋_GB2312"/>
                <w:sz w:val="24"/>
                <w:szCs w:val="24"/>
              </w:rPr>
              <w:t>4分</w:t>
            </w:r>
            <w:r>
              <w:rPr>
                <w:rFonts w:hint="eastAsia" w:ascii="仿宋_GB2312" w:eastAsia="仿宋_GB2312"/>
                <w:sz w:val="24"/>
                <w:szCs w:val="24"/>
                <w:lang w:eastAsia="zh-CN"/>
              </w:rPr>
              <w:t>，其中</w:t>
            </w:r>
            <w:r>
              <w:rPr>
                <w:rFonts w:hint="eastAsia" w:ascii="仿宋_GB2312" w:eastAsia="仿宋_GB2312"/>
                <w:sz w:val="24"/>
                <w:szCs w:val="24"/>
              </w:rPr>
              <w:t>分管领导任组长，</w:t>
            </w:r>
            <w:r>
              <w:rPr>
                <w:rFonts w:hint="eastAsia" w:ascii="仿宋_GB2312" w:eastAsia="仿宋_GB2312"/>
                <w:sz w:val="24"/>
                <w:szCs w:val="24"/>
                <w:lang w:eastAsia="zh-CN"/>
              </w:rPr>
              <w:t>得</w:t>
            </w:r>
            <w:r>
              <w:rPr>
                <w:rFonts w:hint="eastAsia" w:ascii="仿宋_GB2312" w:eastAsia="仿宋_GB2312"/>
                <w:sz w:val="24"/>
                <w:szCs w:val="24"/>
              </w:rPr>
              <w:t>2分。</w:t>
            </w:r>
          </w:p>
          <w:p>
            <w:pPr>
              <w:rPr>
                <w:rFonts w:ascii="仿宋_GB2312" w:eastAsia="仿宋_GB2312"/>
                <w:sz w:val="24"/>
                <w:szCs w:val="24"/>
              </w:rPr>
            </w:pPr>
            <w:r>
              <w:rPr>
                <w:rFonts w:hint="eastAsia" w:ascii="仿宋_GB2312" w:eastAsia="仿宋_GB2312"/>
                <w:sz w:val="24"/>
                <w:szCs w:val="24"/>
              </w:rPr>
              <w:t>（2）设立示范区建设工作办公室，</w:t>
            </w:r>
            <w:r>
              <w:rPr>
                <w:rFonts w:hint="eastAsia" w:ascii="仿宋_GB2312" w:eastAsia="仿宋_GB2312"/>
                <w:sz w:val="24"/>
                <w:szCs w:val="24"/>
                <w:lang w:eastAsia="zh-CN"/>
              </w:rPr>
              <w:t>得</w:t>
            </w:r>
            <w:r>
              <w:rPr>
                <w:rFonts w:hint="eastAsia" w:ascii="仿宋_GB2312" w:eastAsia="仿宋_GB2312"/>
                <w:sz w:val="24"/>
                <w:szCs w:val="24"/>
              </w:rPr>
              <w:t>2分。</w:t>
            </w:r>
          </w:p>
          <w:p>
            <w:pPr>
              <w:rPr>
                <w:rFonts w:ascii="仿宋_GB2312" w:eastAsia="仿宋_GB2312"/>
                <w:sz w:val="24"/>
                <w:szCs w:val="24"/>
              </w:rPr>
            </w:pPr>
            <w:r>
              <w:rPr>
                <w:rFonts w:hint="eastAsia" w:ascii="仿宋_GB2312" w:eastAsia="仿宋_GB2312"/>
                <w:sz w:val="24"/>
                <w:szCs w:val="24"/>
              </w:rPr>
              <w:t>（3）每年召开1次及以上领导小组工作会议，</w:t>
            </w:r>
            <w:r>
              <w:rPr>
                <w:rFonts w:hint="eastAsia" w:ascii="仿宋_GB2312" w:eastAsia="仿宋_GB2312"/>
                <w:sz w:val="24"/>
                <w:szCs w:val="24"/>
                <w:lang w:eastAsia="zh-CN"/>
              </w:rPr>
              <w:t>得</w:t>
            </w:r>
            <w:r>
              <w:rPr>
                <w:rFonts w:hint="eastAsia" w:ascii="仿宋_GB2312" w:eastAsia="仿宋_GB2312"/>
                <w:sz w:val="24"/>
                <w:szCs w:val="24"/>
              </w:rPr>
              <w:t>2分。</w:t>
            </w:r>
          </w:p>
          <w:p>
            <w:pPr>
              <w:rPr>
                <w:rFonts w:ascii="仿宋_GB2312" w:eastAsia="仿宋_GB2312"/>
                <w:sz w:val="24"/>
                <w:szCs w:val="24"/>
              </w:rPr>
            </w:pPr>
            <w:r>
              <w:rPr>
                <w:rFonts w:hint="eastAsia" w:ascii="仿宋_GB2312" w:eastAsia="仿宋_GB2312"/>
                <w:sz w:val="24"/>
                <w:szCs w:val="24"/>
              </w:rPr>
              <w:t>（4）每年召开2次及以上联络员会议，</w:t>
            </w:r>
            <w:r>
              <w:rPr>
                <w:rFonts w:hint="eastAsia" w:ascii="仿宋_GB2312" w:eastAsia="仿宋_GB2312"/>
                <w:sz w:val="24"/>
                <w:szCs w:val="24"/>
                <w:lang w:eastAsia="zh-CN"/>
              </w:rPr>
              <w:t>共</w:t>
            </w:r>
            <w:r>
              <w:rPr>
                <w:rFonts w:hint="eastAsia" w:ascii="仿宋_GB2312" w:eastAsia="仿宋_GB2312"/>
                <w:sz w:val="24"/>
                <w:szCs w:val="24"/>
              </w:rPr>
              <w:t>2分，1次得1分。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10</w:t>
            </w:r>
          </w:p>
        </w:tc>
        <w:tc>
          <w:tcPr>
            <w:tcW w:w="2289" w:type="dxa"/>
            <w:vAlign w:val="top"/>
          </w:tcPr>
          <w:p>
            <w:pPr>
              <w:widowControl/>
              <w:adjustRightInd w:val="0"/>
              <w:snapToGrid w:val="0"/>
              <w:spacing w:beforeLines="0" w:afterLines="0" w:line="300" w:lineRule="exact"/>
              <w:rPr>
                <w:rFonts w:ascii="仿宋_GB2312" w:eastAsia="仿宋_GB2312" w:cs="宋体"/>
                <w:kern w:val="0"/>
                <w:sz w:val="24"/>
                <w:szCs w:val="24"/>
              </w:rPr>
            </w:pPr>
            <w:r>
              <w:rPr>
                <w:rFonts w:hint="eastAsia" w:ascii="仿宋_GB2312" w:eastAsia="仿宋_GB2312" w:cs="宋体"/>
                <w:kern w:val="0"/>
                <w:sz w:val="24"/>
                <w:szCs w:val="24"/>
              </w:rPr>
              <w:t>1.查阅相关文件：</w:t>
            </w:r>
          </w:p>
          <w:p>
            <w:pPr>
              <w:widowControl/>
              <w:adjustRightInd w:val="0"/>
              <w:snapToGrid w:val="0"/>
              <w:spacing w:beforeLines="0" w:afterLines="0" w:line="300" w:lineRule="exact"/>
              <w:rPr>
                <w:rFonts w:ascii="仿宋_GB2312" w:eastAsia="仿宋_GB2312" w:cs="宋体"/>
                <w:kern w:val="0"/>
                <w:sz w:val="24"/>
                <w:szCs w:val="24"/>
              </w:rPr>
            </w:pPr>
            <w:r>
              <w:rPr>
                <w:rFonts w:hint="eastAsia" w:ascii="仿宋_GB2312" w:eastAsia="仿宋_GB2312" w:cs="宋体"/>
                <w:kern w:val="0"/>
                <w:sz w:val="24"/>
                <w:szCs w:val="24"/>
              </w:rPr>
              <w:t>（1）成立文件、工作会议通知、会议纪要等资料；</w:t>
            </w:r>
          </w:p>
          <w:p>
            <w:pPr>
              <w:widowControl/>
              <w:adjustRightInd w:val="0"/>
              <w:snapToGrid w:val="0"/>
              <w:spacing w:beforeLines="0" w:afterLines="0" w:line="300" w:lineRule="exact"/>
              <w:rPr>
                <w:rFonts w:ascii="仿宋_GB2312" w:eastAsia="仿宋_GB2312" w:cs="宋体"/>
                <w:kern w:val="0"/>
                <w:sz w:val="24"/>
                <w:szCs w:val="24"/>
              </w:rPr>
            </w:pPr>
            <w:r>
              <w:rPr>
                <w:rFonts w:hint="eastAsia" w:ascii="仿宋_GB2312" w:eastAsia="仿宋_GB2312" w:cs="宋体"/>
                <w:kern w:val="0"/>
                <w:sz w:val="24"/>
                <w:szCs w:val="24"/>
              </w:rPr>
              <w:t>（2）文件应明确各部门职责、有信息沟通制度、履职制度。</w:t>
            </w:r>
          </w:p>
          <w:p>
            <w:pPr>
              <w:widowControl/>
              <w:adjustRightInd w:val="0"/>
              <w:snapToGrid w:val="0"/>
              <w:spacing w:beforeLines="0" w:afterLines="0" w:line="300" w:lineRule="exact"/>
              <w:rPr>
                <w:rFonts w:ascii="仿宋_GB2312" w:eastAsia="仿宋_GB2312" w:cs="宋体"/>
                <w:kern w:val="0"/>
                <w:sz w:val="24"/>
                <w:szCs w:val="24"/>
              </w:rPr>
            </w:pPr>
            <w:r>
              <w:rPr>
                <w:rFonts w:hint="eastAsia" w:ascii="仿宋_GB2312" w:eastAsia="仿宋_GB2312" w:cs="宋体"/>
                <w:kern w:val="0"/>
                <w:sz w:val="24"/>
                <w:szCs w:val="24"/>
              </w:rPr>
              <w:t>2.现场询问。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adjustRightInd w:val="0"/>
              <w:snapToGrid w:val="0"/>
              <w:spacing w:beforeLines="0" w:afterLines="0" w:line="280" w:lineRule="exact"/>
              <w:rPr>
                <w:rFonts w:ascii="仿宋_GB2312" w:eastAsia="仿宋_GB2312" w:cs="宋体"/>
                <w:kern w:val="0"/>
                <w:sz w:val="24"/>
                <w:szCs w:val="24"/>
              </w:rPr>
            </w:pPr>
            <w:r>
              <w:rPr>
                <w:rFonts w:hint="eastAsia" w:ascii="仿宋_GB2312" w:eastAsia="仿宋_GB2312" w:cs="宋体"/>
                <w:kern w:val="0"/>
                <w:sz w:val="24"/>
                <w:szCs w:val="24"/>
              </w:rPr>
              <w:t>2.辖区政府将慢性病防控工作纳入当地政府经济社会发展规划。</w:t>
            </w:r>
          </w:p>
        </w:tc>
        <w:tc>
          <w:tcPr>
            <w:tcW w:w="6197" w:type="dxa"/>
            <w:vAlign w:val="top"/>
          </w:tcPr>
          <w:p>
            <w:pPr>
              <w:adjustRightInd w:val="0"/>
              <w:snapToGrid w:val="0"/>
              <w:spacing w:beforeLines="0" w:afterLines="0" w:line="280" w:lineRule="exact"/>
              <w:rPr>
                <w:rFonts w:ascii="仿宋_GB2312" w:eastAsia="仿宋_GB2312"/>
                <w:sz w:val="24"/>
                <w:szCs w:val="24"/>
              </w:rPr>
            </w:pPr>
            <w:r>
              <w:rPr>
                <w:rFonts w:hint="eastAsia" w:ascii="仿宋_GB2312" w:eastAsia="仿宋_GB2312"/>
                <w:sz w:val="24"/>
                <w:szCs w:val="24"/>
              </w:rPr>
              <w:t>（1）慢性病防控工作纳入政府社会经济发展规划，</w:t>
            </w:r>
            <w:r>
              <w:rPr>
                <w:rFonts w:hint="eastAsia" w:ascii="仿宋_GB2312" w:eastAsia="仿宋_GB2312"/>
                <w:sz w:val="24"/>
                <w:szCs w:val="24"/>
                <w:lang w:eastAsia="zh-CN"/>
              </w:rPr>
              <w:t>得</w:t>
            </w:r>
            <w:r>
              <w:rPr>
                <w:rFonts w:hint="eastAsia" w:ascii="仿宋_GB2312" w:eastAsia="仿宋_GB2312"/>
                <w:sz w:val="24"/>
                <w:szCs w:val="24"/>
              </w:rPr>
              <w:t>3分；仅纳入年度工作计划，</w:t>
            </w:r>
            <w:r>
              <w:rPr>
                <w:rFonts w:hint="eastAsia" w:ascii="仿宋_GB2312" w:eastAsia="仿宋_GB2312"/>
                <w:sz w:val="24"/>
                <w:szCs w:val="24"/>
                <w:lang w:eastAsia="zh-CN"/>
              </w:rPr>
              <w:t>得</w:t>
            </w:r>
            <w:r>
              <w:rPr>
                <w:rFonts w:hint="eastAsia" w:ascii="仿宋_GB2312" w:eastAsia="仿宋_GB2312"/>
                <w:sz w:val="24"/>
                <w:szCs w:val="24"/>
              </w:rPr>
              <w:t>1分。</w:t>
            </w:r>
          </w:p>
          <w:p>
            <w:pPr>
              <w:numPr>
                <w:ilvl w:val="0"/>
                <w:numId w:val="1"/>
              </w:numPr>
              <w:adjustRightInd w:val="0"/>
              <w:snapToGrid w:val="0"/>
              <w:spacing w:beforeLines="0" w:afterLines="0" w:line="280" w:lineRule="exact"/>
              <w:rPr>
                <w:rFonts w:ascii="仿宋_GB2312" w:eastAsia="仿宋_GB2312"/>
                <w:sz w:val="24"/>
                <w:szCs w:val="24"/>
              </w:rPr>
            </w:pPr>
            <w:r>
              <w:rPr>
                <w:rFonts w:hint="eastAsia" w:ascii="仿宋_GB2312" w:eastAsia="仿宋_GB2312"/>
                <w:sz w:val="24"/>
                <w:szCs w:val="24"/>
              </w:rPr>
              <w:t>政府制定慢性病综合防控示范区建设实施方案，</w:t>
            </w:r>
            <w:r>
              <w:rPr>
                <w:rFonts w:hint="eastAsia" w:ascii="仿宋_GB2312" w:eastAsia="仿宋_GB2312"/>
                <w:sz w:val="24"/>
                <w:szCs w:val="24"/>
                <w:lang w:eastAsia="zh-CN"/>
              </w:rPr>
              <w:t>得</w:t>
            </w:r>
            <w:r>
              <w:rPr>
                <w:rFonts w:hint="eastAsia" w:ascii="仿宋_GB2312" w:eastAsia="仿宋_GB2312"/>
                <w:sz w:val="24"/>
                <w:szCs w:val="24"/>
              </w:rPr>
              <w:t>2分。</w:t>
            </w:r>
          </w:p>
        </w:tc>
        <w:tc>
          <w:tcPr>
            <w:tcW w:w="956" w:type="dxa"/>
            <w:vAlign w:val="center"/>
          </w:tcPr>
          <w:p>
            <w:pPr>
              <w:widowControl/>
              <w:adjustRightInd w:val="0"/>
              <w:snapToGrid w:val="0"/>
              <w:spacing w:beforeLines="0" w:afterLines="0" w:line="280" w:lineRule="exact"/>
              <w:jc w:val="center"/>
              <w:rPr>
                <w:rFonts w:ascii="仿宋_GB2312" w:eastAsia="仿宋_GB2312" w:cs="宋体"/>
                <w:kern w:val="0"/>
                <w:sz w:val="28"/>
                <w:szCs w:val="28"/>
              </w:rPr>
            </w:pPr>
            <w:r>
              <w:rPr>
                <w:rFonts w:hint="eastAsia" w:ascii="仿宋_GB2312" w:eastAsia="仿宋_GB2312" w:cs="宋体"/>
                <w:kern w:val="0"/>
                <w:sz w:val="28"/>
                <w:szCs w:val="28"/>
              </w:rPr>
              <w:t>5</w:t>
            </w:r>
          </w:p>
        </w:tc>
        <w:tc>
          <w:tcPr>
            <w:tcW w:w="2289" w:type="dxa"/>
            <w:vAlign w:val="top"/>
          </w:tcPr>
          <w:p>
            <w:pPr>
              <w:widowControl/>
              <w:adjustRightInd w:val="0"/>
              <w:snapToGrid w:val="0"/>
              <w:spacing w:beforeLines="0" w:afterLines="0" w:line="280" w:lineRule="exact"/>
              <w:rPr>
                <w:rFonts w:ascii="仿宋_GB2312" w:eastAsia="仿宋_GB2312" w:cs="宋体"/>
                <w:kern w:val="0"/>
                <w:sz w:val="24"/>
                <w:szCs w:val="24"/>
              </w:rPr>
            </w:pPr>
            <w:r>
              <w:rPr>
                <w:rFonts w:hint="eastAsia" w:ascii="仿宋_GB2312" w:eastAsia="仿宋_GB2312" w:cs="宋体"/>
                <w:kern w:val="0"/>
                <w:sz w:val="24"/>
                <w:szCs w:val="24"/>
              </w:rPr>
              <w:t>查阅资料：（包含但不限于政府经济社会发展规划、年度工作计划等）。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3.慢性病防控融入各部门政策规章制度，有烟草控制、降低有害饮酒、减盐、控油、控制体重、全民健身等慢性病危险因素干预、疾病管理相关的政策规章制度。</w:t>
            </w:r>
          </w:p>
        </w:tc>
        <w:tc>
          <w:tcPr>
            <w:tcW w:w="6197" w:type="dxa"/>
            <w:vAlign w:val="top"/>
          </w:tcPr>
          <w:p>
            <w:pPr>
              <w:rPr>
                <w:rFonts w:ascii="仿宋_GB2312" w:eastAsia="仿宋_GB2312"/>
                <w:sz w:val="24"/>
                <w:szCs w:val="24"/>
              </w:rPr>
            </w:pPr>
            <w:r>
              <w:rPr>
                <w:rFonts w:hint="eastAsia" w:ascii="仿宋_GB2312" w:eastAsia="仿宋_GB2312"/>
                <w:sz w:val="24"/>
                <w:szCs w:val="24"/>
              </w:rPr>
              <w:t>抽查5个部门制定落实相关健康政策情况。</w:t>
            </w:r>
          </w:p>
          <w:p>
            <w:pPr>
              <w:rPr>
                <w:rFonts w:ascii="仿宋_GB2312" w:eastAsia="仿宋_GB2312"/>
                <w:sz w:val="24"/>
                <w:szCs w:val="24"/>
              </w:rPr>
            </w:pPr>
            <w:r>
              <w:rPr>
                <w:rFonts w:hint="eastAsia" w:ascii="仿宋_GB2312" w:eastAsia="仿宋_GB2312"/>
                <w:sz w:val="24"/>
                <w:szCs w:val="24"/>
              </w:rPr>
              <w:t>（1）凡制定并落实，每个部门得1分，满分5分。</w:t>
            </w:r>
          </w:p>
          <w:p>
            <w:pPr>
              <w:rPr>
                <w:rFonts w:ascii="仿宋_GB2312" w:eastAsia="仿宋_GB2312"/>
                <w:sz w:val="24"/>
                <w:szCs w:val="24"/>
              </w:rPr>
            </w:pPr>
            <w:r>
              <w:rPr>
                <w:rFonts w:hint="eastAsia" w:ascii="仿宋_GB2312" w:eastAsia="仿宋_GB2312"/>
                <w:sz w:val="24"/>
                <w:szCs w:val="24"/>
              </w:rPr>
              <w:t>（2）制定但没有落实，每个部门得0.5分。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5</w:t>
            </w:r>
          </w:p>
        </w:tc>
        <w:tc>
          <w:tcPr>
            <w:tcW w:w="2289" w:type="dxa"/>
            <w:vAlign w:val="top"/>
          </w:tcPr>
          <w:p>
            <w:pPr>
              <w:rPr>
                <w:rFonts w:ascii="仿宋_GB2312" w:eastAsia="仿宋_GB2312" w:cs="宋体"/>
                <w:kern w:val="0"/>
                <w:sz w:val="24"/>
                <w:szCs w:val="24"/>
              </w:rPr>
            </w:pPr>
            <w:r>
              <w:rPr>
                <w:rFonts w:hint="eastAsia" w:ascii="仿宋_GB2312" w:eastAsia="仿宋_GB2312" w:cs="宋体"/>
                <w:kern w:val="0"/>
                <w:sz w:val="24"/>
                <w:szCs w:val="24"/>
              </w:rPr>
              <w:t>随机抽查5个部门年度工作计划的政策相关内容的体现和落实情况；抽查2个部门员工，简单问询对本部门该政策的知晓与落实情况。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rPr>
            </w:pPr>
          </w:p>
        </w:tc>
        <w:tc>
          <w:tcPr>
            <w:tcW w:w="1975" w:type="dxa"/>
            <w:vMerge w:val="continue"/>
            <w:vAlign w:val="center"/>
          </w:tcPr>
          <w:p>
            <w:pPr>
              <w:jc w:val="left"/>
              <w:rPr>
                <w:rFonts w:ascii="仿宋_GB2312" w:eastAsia="仿宋_GB2312"/>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4.示范区建设领导小组建立工作督导制度，开展示范区建设的多部门联合督导。</w:t>
            </w:r>
          </w:p>
        </w:tc>
        <w:tc>
          <w:tcPr>
            <w:tcW w:w="6197" w:type="dxa"/>
            <w:vAlign w:val="top"/>
          </w:tcPr>
          <w:p>
            <w:pPr>
              <w:rPr>
                <w:rFonts w:ascii="仿宋_GB2312" w:eastAsia="仿宋_GB2312"/>
                <w:sz w:val="24"/>
                <w:szCs w:val="24"/>
              </w:rPr>
            </w:pPr>
            <w:r>
              <w:rPr>
                <w:rFonts w:hint="eastAsia" w:ascii="仿宋_GB2312" w:eastAsia="仿宋_GB2312"/>
                <w:sz w:val="24"/>
                <w:szCs w:val="24"/>
              </w:rPr>
              <w:t>（1）每年组织2次由5个及以上部门参与的联合督导，每次得1分；低于5个部门参与得0.5分。</w:t>
            </w:r>
          </w:p>
          <w:p>
            <w:pPr>
              <w:rPr>
                <w:rFonts w:ascii="仿宋_GB2312" w:eastAsia="仿宋_GB2312"/>
                <w:sz w:val="24"/>
                <w:szCs w:val="24"/>
              </w:rPr>
            </w:pPr>
            <w:r>
              <w:rPr>
                <w:rFonts w:hint="eastAsia" w:ascii="仿宋_GB2312" w:eastAsia="仿宋_GB2312"/>
                <w:sz w:val="24"/>
                <w:szCs w:val="24"/>
              </w:rPr>
              <w:t>（2）联合督导内容主要包括部门合作建立的信息沟通共享、激励问责、质量控制等3个基本运行机制情况，每个机制分值为1分。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5</w:t>
            </w:r>
          </w:p>
        </w:tc>
        <w:tc>
          <w:tcPr>
            <w:tcW w:w="2289" w:type="dxa"/>
            <w:vAlign w:val="top"/>
          </w:tcPr>
          <w:p>
            <w:pPr>
              <w:rPr>
                <w:rFonts w:ascii="仿宋_GB2312" w:eastAsia="仿宋_GB2312" w:cs="宋体"/>
                <w:kern w:val="0"/>
                <w:sz w:val="24"/>
                <w:szCs w:val="24"/>
              </w:rPr>
            </w:pPr>
            <w:r>
              <w:rPr>
                <w:rFonts w:hint="eastAsia" w:ascii="仿宋_GB2312" w:eastAsia="仿宋_GB2312" w:cs="宋体"/>
                <w:kern w:val="0"/>
                <w:sz w:val="24"/>
                <w:szCs w:val="24"/>
              </w:rPr>
              <w:t>1.查阅通知文件、督导记录等资料。</w:t>
            </w:r>
          </w:p>
          <w:p>
            <w:pPr>
              <w:rPr>
                <w:rFonts w:ascii="仿宋_GB2312" w:eastAsia="仿宋_GB2312" w:cs="宋体"/>
                <w:kern w:val="0"/>
                <w:sz w:val="24"/>
                <w:szCs w:val="24"/>
              </w:rPr>
            </w:pPr>
            <w:r>
              <w:rPr>
                <w:rFonts w:hint="eastAsia" w:ascii="仿宋_GB2312" w:eastAsia="仿宋_GB2312" w:cs="宋体"/>
                <w:kern w:val="0"/>
                <w:sz w:val="24"/>
                <w:szCs w:val="24"/>
              </w:rPr>
              <w:t>2.随机抽取1-2个参与合作部门的职能科室负责人，询问3项基本机制的落实情况。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rPr>
            </w:pPr>
          </w:p>
        </w:tc>
        <w:tc>
          <w:tcPr>
            <w:tcW w:w="1975" w:type="dxa"/>
            <w:vMerge w:val="restart"/>
            <w:vAlign w:val="center"/>
          </w:tcPr>
          <w:p>
            <w:pPr>
              <w:jc w:val="left"/>
              <w:rPr>
                <w:rFonts w:ascii="仿宋_GB2312" w:eastAsia="仿宋_GB2312"/>
                <w:sz w:val="28"/>
                <w:szCs w:val="28"/>
              </w:rPr>
            </w:pPr>
            <w:r>
              <w:rPr>
                <w:rFonts w:hint="eastAsia" w:ascii="仿宋_GB2312" w:eastAsia="仿宋_GB2312"/>
                <w:sz w:val="28"/>
                <w:szCs w:val="28"/>
              </w:rPr>
              <w:t>（二）保障慢性病防控经费。</w:t>
            </w:r>
          </w:p>
          <w:p>
            <w:pPr>
              <w:jc w:val="left"/>
              <w:rPr>
                <w:rFonts w:ascii="仿宋_GB2312" w:eastAsia="仿宋_GB2312"/>
              </w:rPr>
            </w:pPr>
            <w:r>
              <w:rPr>
                <w:rFonts w:hint="eastAsia" w:ascii="仿宋_GB2312" w:eastAsia="仿宋_GB2312"/>
                <w:sz w:val="28"/>
                <w:szCs w:val="28"/>
              </w:rPr>
              <w:t>（10分）</w:t>
            </w: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1.慢性病防控工作经费纳入政府年度预算、决算管理。</w:t>
            </w:r>
          </w:p>
        </w:tc>
        <w:tc>
          <w:tcPr>
            <w:tcW w:w="6197" w:type="dxa"/>
            <w:vAlign w:val="top"/>
          </w:tcPr>
          <w:p>
            <w:pPr>
              <w:rPr>
                <w:rFonts w:ascii="仿宋_GB2312" w:eastAsia="仿宋_GB2312"/>
                <w:sz w:val="24"/>
                <w:szCs w:val="24"/>
              </w:rPr>
            </w:pPr>
            <w:r>
              <w:rPr>
                <w:rFonts w:hint="eastAsia" w:ascii="仿宋_GB2312" w:eastAsia="仿宋_GB2312"/>
                <w:sz w:val="24"/>
                <w:szCs w:val="24"/>
              </w:rPr>
              <w:t>（1）慢性病防控工作经费纳入政府预算、决算管理，各1分。</w:t>
            </w:r>
          </w:p>
          <w:p>
            <w:pPr>
              <w:rPr>
                <w:rFonts w:ascii="仿宋_GB2312" w:eastAsia="仿宋_GB2312"/>
                <w:sz w:val="24"/>
                <w:szCs w:val="24"/>
              </w:rPr>
            </w:pPr>
            <w:r>
              <w:rPr>
                <w:rFonts w:hint="eastAsia" w:ascii="仿宋_GB2312" w:eastAsia="仿宋_GB2312"/>
                <w:sz w:val="24"/>
                <w:szCs w:val="24"/>
              </w:rPr>
              <w:t xml:space="preserve">（2）经费预算执行率100%， </w:t>
            </w:r>
            <w:r>
              <w:rPr>
                <w:rFonts w:hint="eastAsia" w:ascii="仿宋_GB2312" w:eastAsia="仿宋_GB2312"/>
                <w:sz w:val="24"/>
                <w:szCs w:val="24"/>
                <w:lang w:eastAsia="zh-CN"/>
              </w:rPr>
              <w:t>得</w:t>
            </w:r>
            <w:r>
              <w:rPr>
                <w:rFonts w:hint="eastAsia" w:ascii="仿宋_GB2312" w:eastAsia="仿宋_GB2312"/>
                <w:sz w:val="24"/>
                <w:szCs w:val="24"/>
              </w:rPr>
              <w:t>1分。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w:t>
            </w:r>
          </w:p>
        </w:tc>
        <w:tc>
          <w:tcPr>
            <w:tcW w:w="2289" w:type="dxa"/>
            <w:vAlign w:val="top"/>
          </w:tcPr>
          <w:p>
            <w:pPr>
              <w:rPr>
                <w:rFonts w:ascii="仿宋_GB2312" w:eastAsia="仿宋_GB2312" w:cs="宋体"/>
                <w:kern w:val="0"/>
                <w:sz w:val="24"/>
                <w:szCs w:val="24"/>
              </w:rPr>
            </w:pPr>
            <w:r>
              <w:rPr>
                <w:rFonts w:hint="eastAsia" w:ascii="仿宋_GB2312" w:eastAsia="仿宋_GB2312" w:cs="宋体"/>
                <w:kern w:val="0"/>
                <w:sz w:val="24"/>
                <w:szCs w:val="24"/>
              </w:rPr>
              <w:t>查阅相关资料，按工作记录和描述给分。</w:t>
            </w:r>
          </w:p>
          <w:p>
            <w:pPr>
              <w:rPr>
                <w:rFonts w:ascii="仿宋_GB2312"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rPr>
            </w:pPr>
          </w:p>
        </w:tc>
        <w:tc>
          <w:tcPr>
            <w:tcW w:w="1975" w:type="dxa"/>
            <w:vMerge w:val="continue"/>
            <w:vAlign w:val="center"/>
          </w:tcPr>
          <w:p>
            <w:pPr>
              <w:jc w:val="left"/>
              <w:rPr>
                <w:rFonts w:ascii="仿宋_GB2312" w:eastAsia="仿宋_GB2312"/>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2.辖区政府按规划、计划提供示范区建设专项工作经费，专款专用。</w:t>
            </w:r>
          </w:p>
        </w:tc>
        <w:tc>
          <w:tcPr>
            <w:tcW w:w="6197" w:type="dxa"/>
            <w:vAlign w:val="top"/>
          </w:tcPr>
          <w:p>
            <w:pPr>
              <w:rPr>
                <w:rFonts w:ascii="仿宋_GB2312" w:eastAsia="仿宋_GB2312"/>
                <w:sz w:val="24"/>
                <w:szCs w:val="24"/>
              </w:rPr>
            </w:pPr>
            <w:r>
              <w:rPr>
                <w:rFonts w:hint="eastAsia" w:ascii="仿宋_GB2312" w:eastAsia="仿宋_GB2312"/>
                <w:sz w:val="24"/>
                <w:szCs w:val="24"/>
              </w:rPr>
              <w:t>（1）辖区提供示范区建设专项工作经费，</w:t>
            </w:r>
            <w:r>
              <w:rPr>
                <w:rFonts w:hint="eastAsia" w:ascii="仿宋_GB2312" w:eastAsia="仿宋_GB2312"/>
                <w:sz w:val="24"/>
                <w:szCs w:val="24"/>
                <w:lang w:eastAsia="zh-CN"/>
              </w:rPr>
              <w:t>得</w:t>
            </w:r>
            <w:r>
              <w:rPr>
                <w:rFonts w:hint="eastAsia" w:ascii="仿宋_GB2312" w:eastAsia="仿宋_GB2312"/>
                <w:sz w:val="24"/>
                <w:szCs w:val="24"/>
              </w:rPr>
              <w:t>3分。</w:t>
            </w:r>
          </w:p>
          <w:p>
            <w:pPr>
              <w:rPr>
                <w:rFonts w:ascii="仿宋_GB2312" w:eastAsia="仿宋_GB2312"/>
                <w:sz w:val="24"/>
                <w:szCs w:val="24"/>
              </w:rPr>
            </w:pPr>
            <w:r>
              <w:rPr>
                <w:rFonts w:hint="eastAsia" w:ascii="仿宋_GB2312" w:eastAsia="仿宋_GB2312"/>
                <w:sz w:val="24"/>
                <w:szCs w:val="24"/>
              </w:rPr>
              <w:t>（2）慢性病防控经费专项管理，确保专款专用，</w:t>
            </w:r>
            <w:r>
              <w:rPr>
                <w:rFonts w:hint="eastAsia" w:ascii="仿宋_GB2312" w:eastAsia="仿宋_GB2312"/>
                <w:sz w:val="24"/>
                <w:szCs w:val="24"/>
                <w:lang w:eastAsia="zh-CN"/>
              </w:rPr>
              <w:t>得</w:t>
            </w:r>
            <w:r>
              <w:rPr>
                <w:rFonts w:hint="eastAsia" w:ascii="仿宋_GB2312" w:eastAsia="仿宋_GB2312"/>
                <w:sz w:val="24"/>
                <w:szCs w:val="24"/>
              </w:rPr>
              <w:t>2分。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5</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查阅资料，按工作记录和描述给分。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rPr>
            </w:pPr>
          </w:p>
        </w:tc>
        <w:tc>
          <w:tcPr>
            <w:tcW w:w="1975" w:type="dxa"/>
            <w:vMerge w:val="continue"/>
            <w:vAlign w:val="center"/>
          </w:tcPr>
          <w:p>
            <w:pPr>
              <w:jc w:val="left"/>
              <w:rPr>
                <w:rFonts w:ascii="仿宋_GB2312" w:eastAsia="仿宋_GB2312"/>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3.保障疾控机构的慢性病防控工作经费。</w:t>
            </w:r>
          </w:p>
        </w:tc>
        <w:tc>
          <w:tcPr>
            <w:tcW w:w="6197" w:type="dxa"/>
            <w:vAlign w:val="top"/>
          </w:tcPr>
          <w:p>
            <w:pPr>
              <w:rPr>
                <w:rFonts w:ascii="仿宋_GB2312" w:eastAsia="仿宋_GB2312"/>
                <w:sz w:val="24"/>
                <w:szCs w:val="24"/>
              </w:rPr>
            </w:pPr>
            <w:r>
              <w:rPr>
                <w:rFonts w:hint="eastAsia" w:ascii="仿宋_GB2312" w:eastAsia="仿宋_GB2312"/>
                <w:sz w:val="24"/>
                <w:szCs w:val="24"/>
              </w:rPr>
              <w:t>慢性病防控工作经费占疾控机构业务总经费的比例＞10%</w:t>
            </w:r>
            <w:r>
              <w:rPr>
                <w:rFonts w:hint="eastAsia" w:ascii="仿宋_GB2312" w:eastAsia="仿宋_GB2312"/>
                <w:sz w:val="24"/>
                <w:szCs w:val="24"/>
                <w:lang w:eastAsia="zh-CN"/>
              </w:rPr>
              <w:t>，得</w:t>
            </w:r>
            <w:r>
              <w:rPr>
                <w:rFonts w:hint="eastAsia" w:ascii="仿宋_GB2312" w:eastAsia="仿宋_GB2312"/>
                <w:sz w:val="24"/>
                <w:szCs w:val="24"/>
              </w:rPr>
              <w:t>2分；10%，</w:t>
            </w:r>
            <w:r>
              <w:rPr>
                <w:rFonts w:hint="eastAsia" w:ascii="仿宋_GB2312" w:eastAsia="仿宋_GB2312"/>
                <w:sz w:val="24"/>
                <w:szCs w:val="24"/>
                <w:lang w:eastAsia="zh-CN"/>
              </w:rPr>
              <w:t>得</w:t>
            </w:r>
            <w:r>
              <w:rPr>
                <w:rFonts w:hint="eastAsia" w:ascii="仿宋_GB2312" w:eastAsia="仿宋_GB2312"/>
                <w:sz w:val="24"/>
                <w:szCs w:val="24"/>
              </w:rPr>
              <w:t>1分；10%以下不得分。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查阅资料，按工作记录和描述给分。</w:t>
            </w:r>
          </w:p>
          <w:p>
            <w:pPr>
              <w:widowControl/>
              <w:rPr>
                <w:rFonts w:ascii="仿宋_GB2312"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rPr>
            </w:pPr>
          </w:p>
        </w:tc>
        <w:tc>
          <w:tcPr>
            <w:tcW w:w="1975" w:type="dxa"/>
            <w:vMerge w:val="restart"/>
            <w:vAlign w:val="center"/>
          </w:tcPr>
          <w:p>
            <w:pPr>
              <w:jc w:val="left"/>
              <w:rPr>
                <w:rFonts w:ascii="仿宋_GB2312" w:eastAsia="仿宋_GB2312"/>
                <w:sz w:val="28"/>
                <w:szCs w:val="28"/>
              </w:rPr>
            </w:pPr>
            <w:r>
              <w:rPr>
                <w:rFonts w:hint="eastAsia" w:ascii="仿宋_GB2312" w:eastAsia="仿宋_GB2312"/>
                <w:sz w:val="28"/>
                <w:szCs w:val="28"/>
              </w:rPr>
              <w:t>（三）建立有效的绩效管理及评价机制。</w:t>
            </w:r>
          </w:p>
          <w:p>
            <w:pPr>
              <w:jc w:val="left"/>
              <w:rPr>
                <w:rFonts w:ascii="仿宋_GB2312" w:eastAsia="仿宋_GB2312"/>
              </w:rPr>
            </w:pPr>
            <w:r>
              <w:rPr>
                <w:rFonts w:hint="eastAsia" w:ascii="仿宋_GB2312" w:eastAsia="仿宋_GB2312"/>
                <w:sz w:val="28"/>
                <w:szCs w:val="28"/>
              </w:rPr>
              <w:t>（10分）</w:t>
            </w: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1.辖区政府将示范区建设实施方案相关工作纳入各相关部门年度目标管理。</w:t>
            </w:r>
          </w:p>
        </w:tc>
        <w:tc>
          <w:tcPr>
            <w:tcW w:w="6197" w:type="dxa"/>
            <w:vAlign w:val="top"/>
          </w:tcPr>
          <w:p>
            <w:pPr>
              <w:rPr>
                <w:rFonts w:ascii="仿宋_GB2312" w:eastAsia="仿宋_GB2312"/>
                <w:sz w:val="24"/>
                <w:szCs w:val="24"/>
              </w:rPr>
            </w:pPr>
            <w:r>
              <w:rPr>
                <w:rFonts w:hint="eastAsia" w:ascii="仿宋_GB2312" w:eastAsia="仿宋_GB2312"/>
                <w:sz w:val="24"/>
                <w:szCs w:val="24"/>
              </w:rPr>
              <w:t>（1）辖区政府将示范区建设工作纳入各相关部门年度目标管理，纳入绩效考核目标工作，</w:t>
            </w:r>
            <w:r>
              <w:rPr>
                <w:rFonts w:hint="eastAsia" w:ascii="仿宋_GB2312" w:eastAsia="仿宋_GB2312"/>
                <w:sz w:val="24"/>
                <w:szCs w:val="24"/>
                <w:lang w:eastAsia="zh-CN"/>
              </w:rPr>
              <w:t>得</w:t>
            </w:r>
            <w:r>
              <w:rPr>
                <w:rFonts w:hint="eastAsia" w:ascii="仿宋_GB2312" w:eastAsia="仿宋_GB2312"/>
                <w:sz w:val="24"/>
                <w:szCs w:val="24"/>
              </w:rPr>
              <w:t>2分。</w:t>
            </w:r>
          </w:p>
          <w:p>
            <w:pPr>
              <w:rPr>
                <w:rFonts w:ascii="仿宋_GB2312" w:eastAsia="仿宋_GB2312"/>
                <w:sz w:val="24"/>
                <w:szCs w:val="24"/>
              </w:rPr>
            </w:pPr>
            <w:r>
              <w:rPr>
                <w:rFonts w:hint="eastAsia" w:ascii="仿宋_GB2312" w:eastAsia="仿宋_GB2312"/>
                <w:sz w:val="24"/>
                <w:szCs w:val="24"/>
              </w:rPr>
              <w:t>（2）</w:t>
            </w:r>
            <w:r>
              <w:rPr>
                <w:rFonts w:ascii="仿宋_GB2312" w:eastAsia="仿宋_GB2312"/>
                <w:sz w:val="24"/>
                <w:szCs w:val="24"/>
              </w:rPr>
              <w:t>抽查</w:t>
            </w:r>
            <w:r>
              <w:rPr>
                <w:rFonts w:hint="eastAsia" w:ascii="仿宋_GB2312" w:eastAsia="仿宋_GB2312"/>
                <w:sz w:val="24"/>
                <w:szCs w:val="24"/>
              </w:rPr>
              <w:t>5个部门</w:t>
            </w:r>
            <w:r>
              <w:rPr>
                <w:rFonts w:ascii="仿宋_GB2312" w:eastAsia="仿宋_GB2312"/>
                <w:sz w:val="24"/>
                <w:szCs w:val="24"/>
              </w:rPr>
              <w:t>执行情况，发现2个及以上部门没纳入目标管理和绩效考核者不得分。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查阅相关部门的年度计划和年终评价的相关资料。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rPr>
            </w:pPr>
          </w:p>
        </w:tc>
        <w:tc>
          <w:tcPr>
            <w:tcW w:w="1975" w:type="dxa"/>
            <w:vMerge w:val="continue"/>
            <w:vAlign w:val="center"/>
          </w:tcPr>
          <w:p>
            <w:pPr>
              <w:jc w:val="left"/>
              <w:rPr>
                <w:rFonts w:ascii="仿宋_GB2312" w:eastAsia="仿宋_GB2312"/>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2.辖区政府将示范区建设实施方案相关工作纳入各部门绩效考核，落实问责制。</w:t>
            </w:r>
          </w:p>
        </w:tc>
        <w:tc>
          <w:tcPr>
            <w:tcW w:w="6197" w:type="dxa"/>
            <w:vAlign w:val="top"/>
          </w:tcPr>
          <w:p>
            <w:pPr>
              <w:rPr>
                <w:rFonts w:ascii="仿宋_GB2312" w:eastAsia="仿宋_GB2312"/>
                <w:sz w:val="24"/>
                <w:szCs w:val="24"/>
              </w:rPr>
            </w:pPr>
            <w:r>
              <w:rPr>
                <w:rFonts w:hint="eastAsia" w:ascii="仿宋_GB2312" w:eastAsia="仿宋_GB2312"/>
                <w:sz w:val="24"/>
                <w:szCs w:val="24"/>
              </w:rPr>
              <w:t>（1）抽取4个相关部门职能科室，询问相关职责知晓与执行情况。部门履职合格的覆盖率达100%，每个部门各2分，共8分。</w:t>
            </w:r>
          </w:p>
          <w:p>
            <w:pPr>
              <w:rPr>
                <w:rFonts w:ascii="仿宋_GB2312" w:eastAsia="仿宋_GB2312"/>
                <w:sz w:val="24"/>
                <w:szCs w:val="24"/>
              </w:rPr>
            </w:pP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8</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1.查阅资料；</w:t>
            </w:r>
          </w:p>
          <w:p>
            <w:pPr>
              <w:widowControl/>
              <w:rPr>
                <w:rFonts w:ascii="仿宋_GB2312" w:eastAsia="仿宋_GB2312" w:cs="宋体"/>
                <w:kern w:val="0"/>
                <w:sz w:val="24"/>
                <w:szCs w:val="24"/>
              </w:rPr>
            </w:pPr>
            <w:r>
              <w:rPr>
                <w:rFonts w:hint="eastAsia" w:ascii="仿宋_GB2312" w:eastAsia="仿宋_GB2312" w:cs="宋体"/>
                <w:kern w:val="0"/>
                <w:sz w:val="24"/>
                <w:szCs w:val="24"/>
              </w:rPr>
              <w:t>2.现场询问。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restart"/>
            <w:vAlign w:val="center"/>
          </w:tcPr>
          <w:p>
            <w:pPr>
              <w:jc w:val="center"/>
              <w:rPr>
                <w:rFonts w:ascii="仿宋_GB2312" w:eastAsia="仿宋_GB2312"/>
                <w:sz w:val="28"/>
                <w:szCs w:val="28"/>
              </w:rPr>
            </w:pPr>
            <w:r>
              <w:rPr>
                <w:rFonts w:hint="eastAsia" w:ascii="仿宋_GB2312" w:eastAsia="仿宋_GB2312"/>
                <w:sz w:val="28"/>
                <w:szCs w:val="28"/>
              </w:rPr>
              <w:t>二、环境支持</w:t>
            </w:r>
          </w:p>
          <w:p>
            <w:pPr>
              <w:jc w:val="center"/>
              <w:rPr>
                <w:rFonts w:ascii="仿宋_GB2312" w:eastAsia="仿宋_GB2312"/>
                <w:sz w:val="28"/>
                <w:szCs w:val="28"/>
              </w:rPr>
            </w:pPr>
            <w:r>
              <w:rPr>
                <w:rFonts w:hint="eastAsia" w:ascii="仿宋_GB2312" w:eastAsia="仿宋_GB2312"/>
                <w:sz w:val="28"/>
                <w:szCs w:val="28"/>
              </w:rPr>
              <w:t>（50分）</w:t>
            </w:r>
          </w:p>
        </w:tc>
        <w:tc>
          <w:tcPr>
            <w:tcW w:w="1975" w:type="dxa"/>
            <w:vMerge w:val="restart"/>
            <w:vAlign w:val="center"/>
          </w:tcPr>
          <w:p>
            <w:pPr>
              <w:jc w:val="left"/>
              <w:rPr>
                <w:rFonts w:ascii="仿宋_GB2312" w:eastAsia="仿宋_GB2312"/>
                <w:sz w:val="28"/>
                <w:szCs w:val="28"/>
              </w:rPr>
            </w:pPr>
            <w:r>
              <w:rPr>
                <w:rFonts w:hint="eastAsia" w:ascii="仿宋_GB2312" w:eastAsia="仿宋_GB2312"/>
                <w:sz w:val="28"/>
                <w:szCs w:val="28"/>
              </w:rPr>
              <w:t>（一）开展全民健康生活方式行动，构建全方位健康支持性环境。</w:t>
            </w:r>
          </w:p>
          <w:p>
            <w:pPr>
              <w:jc w:val="left"/>
              <w:rPr>
                <w:rFonts w:ascii="仿宋_GB2312" w:eastAsia="仿宋_GB2312"/>
                <w:sz w:val="28"/>
                <w:szCs w:val="28"/>
              </w:rPr>
            </w:pPr>
            <w:r>
              <w:rPr>
                <w:rFonts w:hint="eastAsia" w:ascii="仿宋_GB2312" w:eastAsia="仿宋_GB2312"/>
                <w:sz w:val="28"/>
                <w:szCs w:val="28"/>
              </w:rPr>
              <w:t>（20分）</w:t>
            </w: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1.开展健康家庭、社区、单位、学校、食堂、餐厅/酒店建设，数量逐年增加。</w:t>
            </w:r>
          </w:p>
        </w:tc>
        <w:tc>
          <w:tcPr>
            <w:tcW w:w="6197" w:type="dxa"/>
            <w:vAlign w:val="top"/>
          </w:tcPr>
          <w:p>
            <w:pPr>
              <w:rPr>
                <w:rFonts w:ascii="仿宋_GB2312" w:eastAsia="仿宋_GB2312"/>
                <w:sz w:val="24"/>
                <w:szCs w:val="24"/>
              </w:rPr>
            </w:pPr>
            <w:r>
              <w:rPr>
                <w:rFonts w:hint="eastAsia" w:ascii="仿宋_GB2312" w:eastAsia="仿宋_GB2312"/>
                <w:sz w:val="24"/>
                <w:szCs w:val="24"/>
              </w:rPr>
              <w:t>（1）开展健康家庭活动的健康社区占辖区社区总数的30%以上，</w:t>
            </w:r>
            <w:r>
              <w:rPr>
                <w:rFonts w:hint="eastAsia" w:ascii="仿宋_GB2312" w:eastAsia="仿宋_GB2312"/>
                <w:sz w:val="24"/>
                <w:szCs w:val="24"/>
                <w:lang w:eastAsia="zh-CN"/>
              </w:rPr>
              <w:t>得</w:t>
            </w:r>
            <w:r>
              <w:rPr>
                <w:rFonts w:hint="eastAsia" w:ascii="仿宋_GB2312" w:eastAsia="仿宋_GB2312"/>
                <w:sz w:val="24"/>
                <w:szCs w:val="24"/>
              </w:rPr>
              <w:t>2分；20-30%，</w:t>
            </w:r>
            <w:r>
              <w:rPr>
                <w:rFonts w:hint="eastAsia" w:ascii="仿宋_GB2312" w:eastAsia="仿宋_GB2312"/>
                <w:sz w:val="24"/>
                <w:szCs w:val="24"/>
                <w:lang w:eastAsia="zh-CN"/>
              </w:rPr>
              <w:t>得</w:t>
            </w:r>
            <w:r>
              <w:rPr>
                <w:rFonts w:hint="eastAsia" w:ascii="仿宋_GB2312" w:eastAsia="仿宋_GB2312"/>
                <w:sz w:val="24"/>
                <w:szCs w:val="24"/>
              </w:rPr>
              <w:t>1分；20%以下不得分。</w:t>
            </w:r>
          </w:p>
          <w:p>
            <w:pPr>
              <w:rPr>
                <w:rFonts w:ascii="仿宋_GB2312" w:eastAsia="仿宋_GB2312"/>
                <w:sz w:val="24"/>
                <w:szCs w:val="24"/>
              </w:rPr>
            </w:pPr>
            <w:r>
              <w:rPr>
                <w:rFonts w:hint="eastAsia" w:ascii="仿宋_GB2312" w:eastAsia="仿宋_GB2312"/>
                <w:sz w:val="24"/>
                <w:szCs w:val="24"/>
              </w:rPr>
              <w:t>（2）健康单位、学校、餐饮（食堂、餐厅/酒店）每类不少于5个，每类2分；每少1个扣0.5分。</w:t>
            </w:r>
          </w:p>
          <w:p>
            <w:pPr>
              <w:rPr>
                <w:rFonts w:ascii="仿宋_GB2312" w:eastAsia="仿宋_GB2312"/>
                <w:sz w:val="24"/>
                <w:szCs w:val="24"/>
              </w:rPr>
            </w:pPr>
            <w:r>
              <w:rPr>
                <w:rFonts w:hint="eastAsia" w:ascii="仿宋_GB2312" w:eastAsia="仿宋_GB2312"/>
                <w:sz w:val="24"/>
                <w:szCs w:val="24"/>
              </w:rPr>
              <w:t>（3）现场评估发现每类中有1个不达标，该类不得分。</w:t>
            </w:r>
          </w:p>
          <w:p>
            <w:pPr>
              <w:rPr>
                <w:rFonts w:ascii="仿宋_GB2312" w:eastAsia="仿宋_GB2312"/>
                <w:sz w:val="24"/>
                <w:szCs w:val="24"/>
              </w:rPr>
            </w:pPr>
            <w:r>
              <w:rPr>
                <w:rFonts w:hint="eastAsia" w:ascii="仿宋_GB2312" w:eastAsia="仿宋_GB2312"/>
                <w:sz w:val="24"/>
                <w:szCs w:val="24"/>
              </w:rPr>
              <w:t>（4）复审：健康社区覆盖率逐年增加5%或达到40%以上，2分。健康单位、学校、食堂/酒店每年增加2个或每类达到10个以上，每类2分，每年增加未达到要求者该类不得分。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8</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查看健康支持性环境的名单, 查阅各类完成结果和辅助资料（包括有关影像资料、记录、数据等，要求提供分子分母资料），现场随机抽查每类1个。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2.开展健康主题公园、步道、小屋、健康一条街等健康支持性环境建设，数量逐年增加。</w:t>
            </w:r>
          </w:p>
        </w:tc>
        <w:tc>
          <w:tcPr>
            <w:tcW w:w="6197" w:type="dxa"/>
            <w:vAlign w:val="top"/>
          </w:tcPr>
          <w:p>
            <w:pPr>
              <w:rPr>
                <w:rFonts w:ascii="仿宋_GB2312" w:eastAsia="仿宋_GB2312"/>
                <w:sz w:val="24"/>
                <w:szCs w:val="24"/>
              </w:rPr>
            </w:pPr>
            <w:r>
              <w:rPr>
                <w:rFonts w:hint="eastAsia" w:ascii="仿宋_GB2312" w:eastAsia="仿宋_GB2312"/>
                <w:sz w:val="24"/>
                <w:szCs w:val="24"/>
              </w:rPr>
              <w:t>（1）健康主题公园、步道、小屋、一条街等，每建设1类，</w:t>
            </w:r>
            <w:r>
              <w:rPr>
                <w:rFonts w:hint="eastAsia" w:ascii="仿宋_GB2312" w:eastAsia="仿宋_GB2312"/>
                <w:sz w:val="24"/>
                <w:szCs w:val="24"/>
                <w:lang w:eastAsia="zh-CN"/>
              </w:rPr>
              <w:t>得</w:t>
            </w:r>
            <w:r>
              <w:rPr>
                <w:rFonts w:hint="eastAsia" w:ascii="仿宋_GB2312" w:eastAsia="仿宋_GB2312"/>
                <w:sz w:val="24"/>
                <w:szCs w:val="24"/>
              </w:rPr>
              <w:t>1分，满分4分。</w:t>
            </w:r>
          </w:p>
          <w:p>
            <w:pPr>
              <w:rPr>
                <w:rFonts w:ascii="仿宋_GB2312" w:eastAsia="仿宋_GB2312"/>
                <w:sz w:val="24"/>
                <w:szCs w:val="24"/>
              </w:rPr>
            </w:pPr>
            <w:r>
              <w:rPr>
                <w:rFonts w:hint="eastAsia" w:ascii="仿宋_GB2312" w:eastAsia="仿宋_GB2312"/>
                <w:sz w:val="24"/>
                <w:szCs w:val="24"/>
              </w:rPr>
              <w:t>（2）现场评估发现1个不达标，该类不得分。</w:t>
            </w:r>
          </w:p>
          <w:p>
            <w:pPr>
              <w:rPr>
                <w:rFonts w:ascii="仿宋_GB2312" w:eastAsia="仿宋_GB2312"/>
                <w:sz w:val="24"/>
                <w:szCs w:val="24"/>
              </w:rPr>
            </w:pPr>
            <w:r>
              <w:rPr>
                <w:rFonts w:hint="eastAsia" w:ascii="仿宋_GB2312" w:eastAsia="仿宋_GB2312"/>
                <w:sz w:val="24"/>
                <w:szCs w:val="24"/>
              </w:rPr>
              <w:t>（3）复审：健康步道、小屋等数量逐年有增加或每类建设数量达到3个，每类2分，满分4分，未达到要求者该类不得分。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1.查看健康支持性环境的名单、分布资料、现场活动照片。</w:t>
            </w:r>
          </w:p>
          <w:p>
            <w:pPr>
              <w:widowControl/>
              <w:rPr>
                <w:rFonts w:ascii="仿宋_GB2312" w:eastAsia="仿宋_GB2312" w:cs="宋体"/>
                <w:kern w:val="0"/>
                <w:sz w:val="24"/>
                <w:szCs w:val="24"/>
              </w:rPr>
            </w:pPr>
            <w:r>
              <w:rPr>
                <w:rFonts w:hint="eastAsia" w:ascii="仿宋_GB2312" w:eastAsia="仿宋_GB2312" w:cs="宋体"/>
                <w:kern w:val="0"/>
                <w:sz w:val="24"/>
                <w:szCs w:val="24"/>
              </w:rPr>
              <w:t>2.现场随机抽查每类1个，进行走访，评估使用情况。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3.开展“三减三健”（减盐减油减糖、健康口腔、健康体重、健康骨骼）专项行动。</w:t>
            </w:r>
          </w:p>
        </w:tc>
        <w:tc>
          <w:tcPr>
            <w:tcW w:w="6197" w:type="dxa"/>
            <w:vAlign w:val="top"/>
          </w:tcPr>
          <w:p>
            <w:pPr>
              <w:adjustRightInd w:val="0"/>
              <w:snapToGrid w:val="0"/>
              <w:spacing w:beforeLines="0" w:afterLines="0" w:line="300" w:lineRule="exact"/>
              <w:rPr>
                <w:rFonts w:ascii="仿宋_GB2312" w:eastAsia="仿宋_GB2312"/>
                <w:sz w:val="24"/>
                <w:szCs w:val="24"/>
              </w:rPr>
            </w:pPr>
            <w:r>
              <w:rPr>
                <w:rFonts w:hint="eastAsia" w:ascii="仿宋_GB2312" w:eastAsia="仿宋_GB2312"/>
                <w:sz w:val="24"/>
                <w:szCs w:val="24"/>
              </w:rPr>
              <w:t>（1）开展</w:t>
            </w:r>
            <w:r>
              <w:rPr>
                <w:rFonts w:ascii="仿宋_GB2312" w:eastAsia="仿宋_GB2312"/>
                <w:sz w:val="24"/>
                <w:szCs w:val="24"/>
              </w:rPr>
              <w:t>全民健康生活方式的</w:t>
            </w:r>
            <w:r>
              <w:rPr>
                <w:rFonts w:hint="eastAsia" w:ascii="仿宋_GB2312" w:eastAsia="仿宋_GB2312"/>
                <w:sz w:val="24"/>
                <w:szCs w:val="24"/>
              </w:rPr>
              <w:t>“三减三健”专项行动、每开展一项得1分，满分6分。</w:t>
            </w:r>
          </w:p>
          <w:p>
            <w:pPr>
              <w:adjustRightInd w:val="0"/>
              <w:snapToGrid w:val="0"/>
              <w:spacing w:beforeLines="0" w:afterLines="0" w:line="300" w:lineRule="exact"/>
              <w:rPr>
                <w:rFonts w:ascii="仿宋_GB2312" w:eastAsia="仿宋_GB2312"/>
                <w:sz w:val="24"/>
                <w:szCs w:val="24"/>
              </w:rPr>
            </w:pPr>
            <w:r>
              <w:rPr>
                <w:rFonts w:hint="eastAsia" w:ascii="仿宋_GB2312" w:eastAsia="仿宋_GB2312"/>
                <w:sz w:val="24"/>
                <w:szCs w:val="24"/>
              </w:rPr>
              <w:t>（2）食盐与食用油的摄入量低于本省平均水平</w:t>
            </w:r>
            <w:r>
              <w:rPr>
                <w:rFonts w:ascii="仿宋_GB2312" w:eastAsia="仿宋_GB2312"/>
                <w:sz w:val="24"/>
                <w:szCs w:val="24"/>
              </w:rPr>
              <w:t>3%以上</w:t>
            </w:r>
            <w:r>
              <w:rPr>
                <w:rFonts w:hint="eastAsia" w:ascii="仿宋_GB2312" w:eastAsia="仿宋_GB2312"/>
                <w:sz w:val="24"/>
                <w:szCs w:val="24"/>
              </w:rPr>
              <w:t>,各1分。</w:t>
            </w:r>
            <w:r>
              <w:rPr>
                <w:rFonts w:hint="eastAsia" w:ascii="仿宋_GB2312" w:eastAsia="仿宋_GB2312"/>
                <w:sz w:val="24"/>
                <w:szCs w:val="24"/>
              </w:rPr>
              <w:br w:type="textWrapping"/>
            </w:r>
            <w:r>
              <w:rPr>
                <w:rFonts w:hint="eastAsia" w:ascii="仿宋_GB2312" w:eastAsia="仿宋_GB2312"/>
                <w:sz w:val="24"/>
                <w:szCs w:val="24"/>
              </w:rPr>
              <w:t>（3）复审：开展</w:t>
            </w:r>
            <w:r>
              <w:rPr>
                <w:rFonts w:ascii="仿宋_GB2312" w:eastAsia="仿宋_GB2312"/>
                <w:sz w:val="24"/>
                <w:szCs w:val="24"/>
              </w:rPr>
              <w:t>全民健康生活方式的</w:t>
            </w:r>
            <w:r>
              <w:rPr>
                <w:rFonts w:hint="eastAsia" w:ascii="仿宋_GB2312" w:eastAsia="仿宋_GB2312"/>
                <w:sz w:val="24"/>
                <w:szCs w:val="24"/>
              </w:rPr>
              <w:t>“三减三健”专项行动、每开展一项得1分，满分6分。食盐与食用油的摄入量5年下降10%或低于全国平均水平3%以上，各1分，未达到要求者不得分。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8</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查阅社会因素调查报告和行动开展情况资料：相关文件、实施方案、工作记录、宣传培训等。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restart"/>
            <w:vAlign w:val="center"/>
          </w:tcPr>
          <w:p>
            <w:pPr>
              <w:jc w:val="left"/>
              <w:rPr>
                <w:rFonts w:ascii="仿宋_GB2312" w:eastAsia="仿宋_GB2312"/>
                <w:sz w:val="28"/>
                <w:szCs w:val="28"/>
              </w:rPr>
            </w:pPr>
            <w:r>
              <w:rPr>
                <w:rFonts w:hint="eastAsia" w:ascii="仿宋_GB2312" w:eastAsia="仿宋_GB2312"/>
                <w:sz w:val="28"/>
                <w:szCs w:val="28"/>
              </w:rPr>
              <w:t>（二）为群众提供方便、可及的自助式健康检测服务。（10分）</w:t>
            </w: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1.社区设立自助式健康检测点，检测内容包括身高、体重、腰围、血压等。</w:t>
            </w:r>
          </w:p>
        </w:tc>
        <w:tc>
          <w:tcPr>
            <w:tcW w:w="6197" w:type="dxa"/>
            <w:vAlign w:val="top"/>
          </w:tcPr>
          <w:p>
            <w:pPr>
              <w:rPr>
                <w:rFonts w:ascii="仿宋_GB2312" w:eastAsia="仿宋_GB2312"/>
                <w:sz w:val="24"/>
                <w:szCs w:val="24"/>
              </w:rPr>
            </w:pPr>
            <w:r>
              <w:rPr>
                <w:rFonts w:hint="eastAsia" w:ascii="仿宋_GB2312" w:eastAsia="仿宋_GB2312"/>
                <w:sz w:val="24"/>
                <w:szCs w:val="24"/>
              </w:rPr>
              <w:t>（1）设立自助式健康检测点的社区覆盖率不低于30%，5分；覆盖率20-30%，3分；20%以下不得分。</w:t>
            </w:r>
          </w:p>
          <w:p>
            <w:pPr>
              <w:rPr>
                <w:rFonts w:ascii="仿宋_GB2312" w:eastAsia="仿宋_GB2312"/>
                <w:sz w:val="24"/>
                <w:szCs w:val="24"/>
              </w:rPr>
            </w:pPr>
            <w:r>
              <w:rPr>
                <w:rFonts w:hint="eastAsia" w:ascii="仿宋_GB2312" w:eastAsia="仿宋_GB2312"/>
                <w:sz w:val="24"/>
                <w:szCs w:val="24"/>
              </w:rPr>
              <w:t>（2）复审：自助式健康监测点逐年增加5%或达到40%，5分，未达到要求者不得分。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5</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查看自助式健康检测点名单,现场随机抽查健康社区、单位各1家。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2.社区卫生服务中心和乡镇卫生院设置自助式健康检测点，并提供个体化健康指导。</w:t>
            </w:r>
          </w:p>
        </w:tc>
        <w:tc>
          <w:tcPr>
            <w:tcW w:w="6197" w:type="dxa"/>
            <w:vAlign w:val="top"/>
          </w:tcPr>
          <w:p>
            <w:pPr>
              <w:rPr>
                <w:rFonts w:ascii="仿宋_GB2312" w:eastAsia="仿宋_GB2312"/>
                <w:sz w:val="24"/>
                <w:szCs w:val="24"/>
              </w:rPr>
            </w:pPr>
            <w:r>
              <w:rPr>
                <w:rFonts w:hint="eastAsia" w:ascii="仿宋_GB2312" w:eastAsia="仿宋_GB2312"/>
                <w:sz w:val="24"/>
                <w:szCs w:val="24"/>
              </w:rPr>
              <w:t>（1）设置健康检测点的机构覆盖率＞80%，2分；70-80%，1分；70%以下不得分。</w:t>
            </w:r>
            <w:r>
              <w:rPr>
                <w:rFonts w:hint="eastAsia" w:ascii="仿宋_GB2312" w:eastAsia="仿宋_GB2312"/>
                <w:sz w:val="24"/>
                <w:szCs w:val="24"/>
              </w:rPr>
              <w:br w:type="textWrapping"/>
            </w:r>
            <w:r>
              <w:rPr>
                <w:rFonts w:hint="eastAsia" w:ascii="仿宋_GB2312" w:eastAsia="仿宋_GB2312"/>
                <w:sz w:val="24"/>
                <w:szCs w:val="24"/>
              </w:rPr>
              <w:t>（2）提供个性化健康指导的机构比例＞50%，3分；40-50%，2分；30-40%，1分；30%以下不得分。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5</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现场查看医疗机构免费健康检测点的设置及健康指导的记录（包括工作照片、宣传材料等），现场走访调查使用情况。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restart"/>
            <w:vAlign w:val="center"/>
          </w:tcPr>
          <w:p>
            <w:pPr>
              <w:jc w:val="left"/>
              <w:rPr>
                <w:rFonts w:ascii="仿宋_GB2312" w:eastAsia="仿宋_GB2312"/>
                <w:sz w:val="28"/>
                <w:szCs w:val="28"/>
              </w:rPr>
            </w:pPr>
            <w:r>
              <w:rPr>
                <w:rFonts w:hint="eastAsia" w:ascii="仿宋_GB2312" w:eastAsia="仿宋_GB2312"/>
                <w:sz w:val="28"/>
                <w:szCs w:val="28"/>
              </w:rPr>
              <w:t>（三）开展全民健身运动，普及公共体育设施，提高经常参加体育锻炼人口比例。</w:t>
            </w:r>
          </w:p>
          <w:p>
            <w:pPr>
              <w:jc w:val="left"/>
              <w:rPr>
                <w:rFonts w:ascii="仿宋_GB2312" w:eastAsia="仿宋_GB2312"/>
                <w:sz w:val="28"/>
                <w:szCs w:val="28"/>
              </w:rPr>
            </w:pPr>
            <w:r>
              <w:rPr>
                <w:rFonts w:hint="eastAsia" w:ascii="仿宋_GB2312" w:eastAsia="仿宋_GB2312"/>
                <w:sz w:val="28"/>
                <w:szCs w:val="28"/>
              </w:rPr>
              <w:t>（10分）</w:t>
            </w: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1.社区建设15分钟健身圈，居民健身设施完好，提高人均体育场地面积。</w:t>
            </w:r>
          </w:p>
        </w:tc>
        <w:tc>
          <w:tcPr>
            <w:tcW w:w="6197" w:type="dxa"/>
            <w:vAlign w:val="top"/>
          </w:tcPr>
          <w:p>
            <w:pPr>
              <w:rPr>
                <w:rFonts w:ascii="仿宋_GB2312" w:eastAsia="仿宋_GB2312"/>
                <w:sz w:val="24"/>
                <w:szCs w:val="24"/>
              </w:rPr>
            </w:pPr>
            <w:r>
              <w:rPr>
                <w:rFonts w:hint="eastAsia" w:ascii="仿宋_GB2312" w:eastAsia="仿宋_GB2312"/>
                <w:sz w:val="24"/>
                <w:szCs w:val="24"/>
              </w:rPr>
              <w:t>（1）社区15分钟健身圈的覆盖率＞90%，1分；70-90%，0.5分；70%以下不得分。</w:t>
            </w:r>
            <w:r>
              <w:rPr>
                <w:rFonts w:hint="eastAsia" w:ascii="仿宋_GB2312" w:eastAsia="仿宋_GB2312"/>
                <w:sz w:val="24"/>
                <w:szCs w:val="24"/>
              </w:rPr>
              <w:br w:type="textWrapping"/>
            </w:r>
            <w:r>
              <w:rPr>
                <w:rFonts w:hint="eastAsia" w:ascii="仿宋_GB2312" w:eastAsia="仿宋_GB2312"/>
                <w:sz w:val="24"/>
                <w:szCs w:val="24"/>
              </w:rPr>
              <w:t>（2）设备完好100%，0.5分；其余0分。</w:t>
            </w:r>
          </w:p>
          <w:p>
            <w:pPr>
              <w:rPr>
                <w:rFonts w:ascii="仿宋_GB2312" w:eastAsia="仿宋_GB2312"/>
                <w:sz w:val="24"/>
                <w:szCs w:val="24"/>
              </w:rPr>
            </w:pPr>
            <w:r>
              <w:rPr>
                <w:rFonts w:hint="eastAsia" w:ascii="仿宋_GB2312" w:eastAsia="仿宋_GB2312"/>
                <w:sz w:val="24"/>
                <w:szCs w:val="24"/>
              </w:rPr>
              <w:t>（3）人均体育场地面积达2平米，0.5分。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查阅资料（数据应注明资料的来源），现场随机抽查居委会或村委会，走访调查使用情况。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2. 公共体育场地、有条件的企事业、学校的体育场地免费或低收费向社区居民开放。</w:t>
            </w:r>
          </w:p>
        </w:tc>
        <w:tc>
          <w:tcPr>
            <w:tcW w:w="6197" w:type="dxa"/>
            <w:vAlign w:val="top"/>
          </w:tcPr>
          <w:p>
            <w:pPr>
              <w:rPr>
                <w:rFonts w:ascii="仿宋_GB2312" w:eastAsia="仿宋_GB2312"/>
                <w:sz w:val="24"/>
                <w:szCs w:val="24"/>
              </w:rPr>
            </w:pPr>
            <w:r>
              <w:rPr>
                <w:rFonts w:hint="eastAsia" w:ascii="仿宋_GB2312" w:eastAsia="仿宋_GB2312"/>
                <w:sz w:val="24"/>
                <w:szCs w:val="24"/>
              </w:rPr>
              <w:t>（1）公共体育场地、设施免费或低收费开放比例100%，1分；其余0分。</w:t>
            </w:r>
            <w:r>
              <w:rPr>
                <w:rFonts w:hint="eastAsia" w:ascii="仿宋_GB2312" w:eastAsia="仿宋_GB2312"/>
                <w:sz w:val="24"/>
                <w:szCs w:val="24"/>
              </w:rPr>
              <w:br w:type="textWrapping"/>
            </w:r>
            <w:r>
              <w:rPr>
                <w:rFonts w:hint="eastAsia" w:ascii="仿宋_GB2312" w:eastAsia="仿宋_GB2312"/>
                <w:sz w:val="24"/>
                <w:szCs w:val="24"/>
              </w:rPr>
              <w:t>（2）有条件的单位免费或低收费开放比例≥30%，1分；30%以下不得分。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查阅资料，现场评估，走访辖区居民了解开放情况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3.机关、企事业单位开展工间健身活动，组织符合单位特点的健身和竞赛活动。</w:t>
            </w:r>
          </w:p>
        </w:tc>
        <w:tc>
          <w:tcPr>
            <w:tcW w:w="6197" w:type="dxa"/>
            <w:vAlign w:val="top"/>
          </w:tcPr>
          <w:p>
            <w:pPr>
              <w:rPr>
                <w:rFonts w:ascii="仿宋_GB2312" w:eastAsia="仿宋_GB2312"/>
                <w:sz w:val="24"/>
                <w:szCs w:val="24"/>
              </w:rPr>
            </w:pPr>
            <w:r>
              <w:rPr>
                <w:rFonts w:hint="eastAsia" w:ascii="仿宋_GB2312" w:eastAsia="仿宋_GB2312"/>
                <w:sz w:val="24"/>
                <w:szCs w:val="24"/>
              </w:rPr>
              <w:t>（1）开展工间健身活动单位覆盖率≥80%，</w:t>
            </w:r>
            <w:r>
              <w:rPr>
                <w:rFonts w:hint="eastAsia" w:ascii="仿宋_GB2312" w:eastAsia="仿宋_GB2312"/>
                <w:sz w:val="24"/>
                <w:szCs w:val="24"/>
                <w:lang w:eastAsia="zh-CN"/>
              </w:rPr>
              <w:t>得</w:t>
            </w:r>
            <w:r>
              <w:rPr>
                <w:rFonts w:hint="eastAsia" w:ascii="仿宋_GB2312" w:eastAsia="仿宋_GB2312"/>
                <w:sz w:val="24"/>
                <w:szCs w:val="24"/>
              </w:rPr>
              <w:t>1分；80%以下不得分。</w:t>
            </w:r>
          </w:p>
          <w:p>
            <w:pPr>
              <w:rPr>
                <w:rFonts w:ascii="仿宋_GB2312" w:eastAsia="仿宋_GB2312"/>
                <w:sz w:val="24"/>
                <w:szCs w:val="24"/>
              </w:rPr>
            </w:pPr>
            <w:r>
              <w:rPr>
                <w:rFonts w:hint="eastAsia" w:ascii="仿宋_GB2312" w:eastAsia="仿宋_GB2312"/>
                <w:sz w:val="24"/>
                <w:szCs w:val="24"/>
              </w:rPr>
              <w:t>（2）每年机关、企事业单位组织开展至少1次健身竞赛活动，</w:t>
            </w:r>
            <w:r>
              <w:rPr>
                <w:rFonts w:hint="eastAsia" w:ascii="仿宋_GB2312" w:eastAsia="仿宋_GB2312"/>
                <w:sz w:val="24"/>
                <w:szCs w:val="24"/>
                <w:lang w:eastAsia="zh-CN"/>
              </w:rPr>
              <w:t>得</w:t>
            </w:r>
            <w:r>
              <w:rPr>
                <w:rFonts w:hint="eastAsia" w:ascii="仿宋_GB2312" w:eastAsia="仿宋_GB2312"/>
                <w:sz w:val="24"/>
                <w:szCs w:val="24"/>
              </w:rPr>
              <w:t>1分；未开展不得分。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查阅资料，现场评估。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4.实施青少年体育活动促进计划。</w:t>
            </w:r>
          </w:p>
        </w:tc>
        <w:tc>
          <w:tcPr>
            <w:tcW w:w="6197" w:type="dxa"/>
            <w:vAlign w:val="top"/>
          </w:tcPr>
          <w:p>
            <w:pPr>
              <w:rPr>
                <w:rFonts w:ascii="仿宋_GB2312" w:eastAsia="仿宋_GB2312"/>
                <w:sz w:val="24"/>
                <w:szCs w:val="24"/>
              </w:rPr>
            </w:pPr>
            <w:r>
              <w:rPr>
                <w:rFonts w:hint="eastAsia" w:ascii="仿宋_GB2312" w:eastAsia="仿宋_GB2312"/>
                <w:sz w:val="24"/>
                <w:szCs w:val="24"/>
              </w:rPr>
              <w:t>中、小学生每天锻炼1小时的比例达到100%，</w:t>
            </w:r>
            <w:r>
              <w:rPr>
                <w:rFonts w:hint="eastAsia" w:ascii="仿宋_GB2312" w:eastAsia="仿宋_GB2312"/>
                <w:sz w:val="24"/>
                <w:szCs w:val="24"/>
                <w:lang w:eastAsia="zh-CN"/>
              </w:rPr>
              <w:t>得</w:t>
            </w:r>
            <w:r>
              <w:rPr>
                <w:rFonts w:hint="eastAsia" w:ascii="仿宋_GB2312" w:eastAsia="仿宋_GB2312"/>
                <w:sz w:val="24"/>
                <w:szCs w:val="24"/>
              </w:rPr>
              <w:t>2分；80-100%，</w:t>
            </w:r>
            <w:r>
              <w:rPr>
                <w:rFonts w:hint="eastAsia" w:ascii="仿宋_GB2312" w:eastAsia="仿宋_GB2312"/>
                <w:sz w:val="24"/>
                <w:szCs w:val="24"/>
                <w:lang w:eastAsia="zh-CN"/>
              </w:rPr>
              <w:t>得</w:t>
            </w:r>
            <w:r>
              <w:rPr>
                <w:rFonts w:hint="eastAsia" w:ascii="仿宋_GB2312" w:eastAsia="仿宋_GB2312"/>
                <w:sz w:val="24"/>
                <w:szCs w:val="24"/>
              </w:rPr>
              <w:t>1分；80%以下不得分。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查阅资料。</w:t>
            </w:r>
          </w:p>
          <w:p>
            <w:pPr>
              <w:widowControl/>
              <w:rPr>
                <w:rFonts w:ascii="仿宋_GB2312"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5.提高经常参加体育锻炼人口比例。</w:t>
            </w:r>
          </w:p>
        </w:tc>
        <w:tc>
          <w:tcPr>
            <w:tcW w:w="6197" w:type="dxa"/>
            <w:vAlign w:val="top"/>
          </w:tcPr>
          <w:p>
            <w:pPr>
              <w:rPr>
                <w:rFonts w:ascii="仿宋_GB2312" w:eastAsia="仿宋_GB2312"/>
                <w:sz w:val="24"/>
                <w:szCs w:val="24"/>
              </w:rPr>
            </w:pPr>
            <w:r>
              <w:rPr>
                <w:rFonts w:hint="eastAsia" w:ascii="仿宋_GB2312" w:eastAsia="仿宋_GB2312"/>
                <w:sz w:val="24"/>
                <w:szCs w:val="24"/>
              </w:rPr>
              <w:t>经常参加体育锻炼人口比例≥40%,2分； 35-40%，1分；35%以下不得分。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查阅体育部门相关资料。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restart"/>
            <w:vAlign w:val="center"/>
          </w:tcPr>
          <w:p>
            <w:pPr>
              <w:jc w:val="left"/>
              <w:rPr>
                <w:rFonts w:ascii="仿宋_GB2312" w:eastAsia="仿宋_GB2312"/>
                <w:sz w:val="28"/>
                <w:szCs w:val="28"/>
              </w:rPr>
            </w:pPr>
            <w:r>
              <w:rPr>
                <w:rFonts w:hint="eastAsia" w:ascii="仿宋_GB2312" w:eastAsia="仿宋_GB2312"/>
                <w:sz w:val="28"/>
                <w:szCs w:val="28"/>
              </w:rPr>
              <w:t>（四）开展烟草控制，降低人群吸烟率。</w:t>
            </w:r>
          </w:p>
          <w:p>
            <w:pPr>
              <w:jc w:val="left"/>
              <w:rPr>
                <w:rFonts w:ascii="仿宋_GB2312" w:eastAsia="仿宋_GB2312"/>
                <w:sz w:val="28"/>
                <w:szCs w:val="28"/>
              </w:rPr>
            </w:pPr>
            <w:r>
              <w:rPr>
                <w:rFonts w:hint="eastAsia" w:ascii="仿宋_GB2312" w:eastAsia="仿宋_GB2312"/>
                <w:sz w:val="28"/>
                <w:szCs w:val="28"/>
              </w:rPr>
              <w:t>（10分）</w:t>
            </w: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1.辖区室内公共场所、工作场所和公共交通工具设置禁止吸烟警语和标识。</w:t>
            </w:r>
          </w:p>
        </w:tc>
        <w:tc>
          <w:tcPr>
            <w:tcW w:w="6197" w:type="dxa"/>
            <w:vAlign w:val="top"/>
          </w:tcPr>
          <w:p>
            <w:pPr>
              <w:rPr>
                <w:rFonts w:ascii="仿宋_GB2312" w:eastAsia="仿宋_GB2312"/>
                <w:sz w:val="24"/>
                <w:szCs w:val="24"/>
              </w:rPr>
            </w:pPr>
            <w:r>
              <w:rPr>
                <w:rFonts w:hint="eastAsia" w:ascii="仿宋_GB2312" w:eastAsia="仿宋_GB2312"/>
                <w:sz w:val="24"/>
                <w:szCs w:val="24"/>
              </w:rPr>
              <w:t>辖区100%的室内公共场所和工作场所设置禁止吸烟警语和标识，</w:t>
            </w:r>
            <w:r>
              <w:rPr>
                <w:rFonts w:hint="eastAsia" w:ascii="仿宋_GB2312" w:eastAsia="仿宋_GB2312"/>
                <w:sz w:val="24"/>
                <w:szCs w:val="24"/>
                <w:lang w:eastAsia="zh-CN"/>
              </w:rPr>
              <w:t>得</w:t>
            </w:r>
            <w:r>
              <w:rPr>
                <w:rFonts w:hint="eastAsia" w:ascii="仿宋_GB2312" w:eastAsia="仿宋_GB2312"/>
                <w:sz w:val="24"/>
                <w:szCs w:val="24"/>
              </w:rPr>
              <w:t>3分；95%-100%,</w:t>
            </w:r>
            <w:r>
              <w:rPr>
                <w:rFonts w:hint="eastAsia" w:ascii="仿宋_GB2312" w:eastAsia="仿宋_GB2312"/>
                <w:sz w:val="24"/>
                <w:szCs w:val="24"/>
                <w:lang w:eastAsia="zh-CN"/>
              </w:rPr>
              <w:t>得</w:t>
            </w:r>
            <w:r>
              <w:rPr>
                <w:rFonts w:hint="eastAsia" w:ascii="仿宋_GB2312" w:eastAsia="仿宋_GB2312"/>
                <w:sz w:val="24"/>
                <w:szCs w:val="24"/>
              </w:rPr>
              <w:t>1分；95%以下不得分。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现场随机抽查，进行走访，考察实际工作情况。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2.禁止烟草广告。</w:t>
            </w:r>
          </w:p>
        </w:tc>
        <w:tc>
          <w:tcPr>
            <w:tcW w:w="6197" w:type="dxa"/>
            <w:vAlign w:val="top"/>
          </w:tcPr>
          <w:p>
            <w:pPr>
              <w:rPr>
                <w:rFonts w:ascii="仿宋_GB2312" w:eastAsia="仿宋_GB2312"/>
                <w:sz w:val="24"/>
                <w:szCs w:val="24"/>
              </w:rPr>
            </w:pPr>
            <w:r>
              <w:rPr>
                <w:rFonts w:hint="eastAsia" w:ascii="仿宋_GB2312" w:eastAsia="仿宋_GB2312"/>
                <w:sz w:val="24"/>
                <w:szCs w:val="24"/>
              </w:rPr>
              <w:t>（1）辖区有禁止烟草广告的政策文件，</w:t>
            </w:r>
            <w:r>
              <w:rPr>
                <w:rFonts w:hint="eastAsia" w:ascii="仿宋_GB2312" w:eastAsia="仿宋_GB2312"/>
                <w:sz w:val="24"/>
                <w:szCs w:val="24"/>
                <w:lang w:eastAsia="zh-CN"/>
              </w:rPr>
              <w:t>得</w:t>
            </w:r>
            <w:r>
              <w:rPr>
                <w:rFonts w:hint="eastAsia" w:ascii="仿宋_GB2312" w:eastAsia="仿宋_GB2312"/>
                <w:sz w:val="24"/>
                <w:szCs w:val="24"/>
              </w:rPr>
              <w:t>0.5分。</w:t>
            </w:r>
          </w:p>
          <w:p>
            <w:pPr>
              <w:rPr>
                <w:rFonts w:ascii="仿宋_GB2312" w:eastAsia="仿宋_GB2312"/>
                <w:sz w:val="24"/>
                <w:szCs w:val="24"/>
              </w:rPr>
            </w:pPr>
            <w:r>
              <w:rPr>
                <w:rFonts w:hint="eastAsia" w:ascii="仿宋_GB2312" w:eastAsia="仿宋_GB2312"/>
                <w:sz w:val="24"/>
                <w:szCs w:val="24"/>
              </w:rPr>
              <w:t>（2）辖区未发现烟草广告，</w:t>
            </w:r>
            <w:r>
              <w:rPr>
                <w:rFonts w:hint="eastAsia" w:ascii="仿宋_GB2312" w:eastAsia="仿宋_GB2312"/>
                <w:sz w:val="24"/>
                <w:szCs w:val="24"/>
                <w:lang w:eastAsia="zh-CN"/>
              </w:rPr>
              <w:t>得</w:t>
            </w:r>
            <w:r>
              <w:rPr>
                <w:rFonts w:hint="eastAsia" w:ascii="仿宋_GB2312" w:eastAsia="仿宋_GB2312"/>
                <w:sz w:val="24"/>
                <w:szCs w:val="24"/>
              </w:rPr>
              <w:t>0.5分。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查阅文件，现场走访评估。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3.建设无烟党政机关、无烟医疗卫生计生机构、无烟学校。</w:t>
            </w:r>
          </w:p>
        </w:tc>
        <w:tc>
          <w:tcPr>
            <w:tcW w:w="6197" w:type="dxa"/>
            <w:vAlign w:val="top"/>
          </w:tcPr>
          <w:p>
            <w:pPr>
              <w:rPr>
                <w:rFonts w:ascii="仿宋_GB2312" w:eastAsia="仿宋_GB2312"/>
                <w:sz w:val="24"/>
                <w:szCs w:val="24"/>
              </w:rPr>
            </w:pPr>
            <w:r>
              <w:rPr>
                <w:rFonts w:hint="eastAsia" w:ascii="仿宋_GB2312" w:eastAsia="仿宋_GB2312"/>
                <w:sz w:val="24"/>
                <w:szCs w:val="24"/>
              </w:rPr>
              <w:t>（1）覆盖率均达100%，</w:t>
            </w:r>
            <w:r>
              <w:rPr>
                <w:rFonts w:hint="eastAsia" w:ascii="仿宋_GB2312" w:eastAsia="仿宋_GB2312"/>
                <w:sz w:val="24"/>
                <w:szCs w:val="24"/>
                <w:lang w:eastAsia="zh-CN"/>
              </w:rPr>
              <w:t>得</w:t>
            </w:r>
            <w:r>
              <w:rPr>
                <w:rFonts w:hint="eastAsia" w:ascii="仿宋_GB2312" w:eastAsia="仿宋_GB2312"/>
                <w:sz w:val="24"/>
                <w:szCs w:val="24"/>
              </w:rPr>
              <w:t>2分；低于100%不得分。</w:t>
            </w:r>
          </w:p>
          <w:p>
            <w:pPr>
              <w:rPr>
                <w:rFonts w:ascii="仿宋_GB2312" w:eastAsia="仿宋_GB2312"/>
                <w:sz w:val="24"/>
                <w:szCs w:val="24"/>
              </w:rPr>
            </w:pPr>
            <w:r>
              <w:rPr>
                <w:rFonts w:hint="eastAsia" w:ascii="仿宋_GB2312" w:eastAsia="仿宋_GB2312"/>
                <w:sz w:val="24"/>
                <w:szCs w:val="24"/>
              </w:rPr>
              <w:t>（2）抽查发现1个单位不合格，不得分。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现场随机抽查。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4.辖区各级医疗机构开展简短戒烟服务培训，二级及以上医疗机构提供简短戒烟服务。</w:t>
            </w:r>
          </w:p>
        </w:tc>
        <w:tc>
          <w:tcPr>
            <w:tcW w:w="6197" w:type="dxa"/>
            <w:vAlign w:val="top"/>
          </w:tcPr>
          <w:p>
            <w:pPr>
              <w:rPr>
                <w:rFonts w:ascii="仿宋_GB2312" w:eastAsia="仿宋_GB2312"/>
                <w:sz w:val="24"/>
                <w:szCs w:val="24"/>
              </w:rPr>
            </w:pPr>
            <w:r>
              <w:rPr>
                <w:rFonts w:hint="eastAsia" w:ascii="仿宋_GB2312" w:eastAsia="仿宋_GB2312"/>
                <w:sz w:val="24"/>
                <w:szCs w:val="24"/>
              </w:rPr>
              <w:t>(1)开展简短戒烟服务培训的医疗机构覆盖率≥80%，</w:t>
            </w:r>
            <w:r>
              <w:rPr>
                <w:rFonts w:hint="eastAsia" w:ascii="仿宋_GB2312" w:eastAsia="仿宋_GB2312"/>
                <w:sz w:val="24"/>
                <w:szCs w:val="24"/>
                <w:lang w:eastAsia="zh-CN"/>
              </w:rPr>
              <w:t>得</w:t>
            </w:r>
            <w:r>
              <w:rPr>
                <w:rFonts w:hint="eastAsia" w:ascii="仿宋_GB2312" w:eastAsia="仿宋_GB2312"/>
                <w:sz w:val="24"/>
                <w:szCs w:val="24"/>
              </w:rPr>
              <w:t>1分；80%以下不得分。</w:t>
            </w:r>
          </w:p>
          <w:p>
            <w:pPr>
              <w:rPr>
                <w:rFonts w:ascii="仿宋_GB2312" w:eastAsia="仿宋_GB2312"/>
                <w:sz w:val="24"/>
                <w:szCs w:val="24"/>
              </w:rPr>
            </w:pPr>
            <w:r>
              <w:rPr>
                <w:rFonts w:hint="eastAsia" w:ascii="仿宋_GB2312" w:eastAsia="仿宋_GB2312"/>
                <w:sz w:val="24"/>
                <w:szCs w:val="24"/>
              </w:rPr>
              <w:t>(2)提供简短戒烟服务（包含但不限于戒烟门诊）的医疗机构覆盖率100%，</w:t>
            </w:r>
            <w:r>
              <w:rPr>
                <w:rFonts w:hint="eastAsia" w:ascii="仿宋_GB2312" w:eastAsia="仿宋_GB2312"/>
                <w:sz w:val="24"/>
                <w:szCs w:val="24"/>
                <w:lang w:eastAsia="zh-CN"/>
              </w:rPr>
              <w:t>得</w:t>
            </w:r>
            <w:r>
              <w:rPr>
                <w:rFonts w:hint="eastAsia" w:ascii="仿宋_GB2312" w:eastAsia="仿宋_GB2312"/>
                <w:sz w:val="24"/>
                <w:szCs w:val="24"/>
              </w:rPr>
              <w:t>1分；100%以下不得分。</w:t>
            </w:r>
          </w:p>
          <w:p>
            <w:pPr>
              <w:rPr>
                <w:rFonts w:ascii="仿宋_GB2312" w:eastAsia="仿宋_GB2312"/>
                <w:sz w:val="24"/>
                <w:szCs w:val="24"/>
              </w:rPr>
            </w:pPr>
            <w:r>
              <w:rPr>
                <w:rFonts w:hint="eastAsia" w:ascii="仿宋_GB2312" w:eastAsia="仿宋_GB2312"/>
                <w:sz w:val="24"/>
                <w:szCs w:val="24"/>
              </w:rPr>
              <w:t>医疗机构包括辖区所在一、二、三级医疗机构和妇幼保健院。</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查阅培训照片、培训材料、培训记录等资料。现场抽查医疗机构提供简短戒烟服务的情况，考察实际开展情况。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5.降低辖区15岁以上成年人吸烟率。</w:t>
            </w:r>
          </w:p>
        </w:tc>
        <w:tc>
          <w:tcPr>
            <w:tcW w:w="6197" w:type="dxa"/>
            <w:vAlign w:val="top"/>
          </w:tcPr>
          <w:p>
            <w:pPr>
              <w:rPr>
                <w:rFonts w:ascii="仿宋_GB2312" w:eastAsia="仿宋_GB2312"/>
                <w:sz w:val="24"/>
                <w:szCs w:val="24"/>
              </w:rPr>
            </w:pPr>
            <w:r>
              <w:rPr>
                <w:rFonts w:hint="eastAsia" w:ascii="仿宋_GB2312" w:eastAsia="仿宋_GB2312"/>
                <w:sz w:val="24"/>
                <w:szCs w:val="24"/>
              </w:rPr>
              <w:t>(1)15岁以上成人吸烟率低于25%，2分。（仅有18岁以上成人数据的可用该数据替代）</w:t>
            </w:r>
            <w:r>
              <w:rPr>
                <w:rFonts w:hint="eastAsia" w:ascii="仿宋_GB2312" w:eastAsia="仿宋_GB2312"/>
                <w:sz w:val="24"/>
                <w:szCs w:val="24"/>
              </w:rPr>
              <w:br w:type="textWrapping"/>
            </w:r>
            <w:r>
              <w:rPr>
                <w:rFonts w:hint="eastAsia" w:ascii="仿宋_GB2312" w:eastAsia="仿宋_GB2312"/>
                <w:sz w:val="24"/>
                <w:szCs w:val="24"/>
              </w:rPr>
              <w:t>(2)复审：15岁以上成人吸烟率逐年下降，5年降低10%；5年降低未达到10%不得分。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查阅中国慢性病与营养监测、社会因素调查报告、辖区监测、专题报告等相关资料，结合现场考察实际情况。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restart"/>
            <w:vAlign w:val="center"/>
          </w:tcPr>
          <w:p>
            <w:pPr>
              <w:jc w:val="center"/>
              <w:rPr>
                <w:rFonts w:ascii="仿宋_GB2312" w:eastAsia="仿宋_GB2312"/>
                <w:sz w:val="28"/>
                <w:szCs w:val="28"/>
              </w:rPr>
            </w:pPr>
            <w:r>
              <w:rPr>
                <w:rFonts w:hint="eastAsia" w:ascii="仿宋_GB2312" w:eastAsia="仿宋_GB2312"/>
                <w:sz w:val="28"/>
                <w:szCs w:val="28"/>
              </w:rPr>
              <w:t>三、体系整合</w:t>
            </w:r>
          </w:p>
          <w:p>
            <w:pPr>
              <w:jc w:val="center"/>
              <w:rPr>
                <w:rFonts w:ascii="仿宋_GB2312" w:eastAsia="仿宋_GB2312"/>
                <w:sz w:val="28"/>
                <w:szCs w:val="28"/>
              </w:rPr>
            </w:pPr>
            <w:r>
              <w:rPr>
                <w:rFonts w:hint="eastAsia" w:ascii="仿宋_GB2312" w:eastAsia="仿宋_GB2312"/>
                <w:sz w:val="28"/>
                <w:szCs w:val="28"/>
              </w:rPr>
              <w:t>（30分）</w:t>
            </w:r>
          </w:p>
        </w:tc>
        <w:tc>
          <w:tcPr>
            <w:tcW w:w="1975" w:type="dxa"/>
            <w:vMerge w:val="restart"/>
            <w:vAlign w:val="center"/>
          </w:tcPr>
          <w:p>
            <w:pPr>
              <w:jc w:val="left"/>
              <w:rPr>
                <w:rFonts w:ascii="仿宋_GB2312" w:eastAsia="仿宋_GB2312"/>
                <w:sz w:val="28"/>
                <w:szCs w:val="28"/>
              </w:rPr>
            </w:pPr>
            <w:r>
              <w:rPr>
                <w:rFonts w:hint="eastAsia" w:ascii="仿宋_GB2312" w:eastAsia="仿宋_GB2312"/>
                <w:sz w:val="28"/>
                <w:szCs w:val="28"/>
              </w:rPr>
              <w:t>（一）建立防治结合、分工协作、优势互补、上下联动的慢性病综合防治体系。（15分）</w:t>
            </w: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1.建立完善慢性病防控服务体系和分工明确、上下联动的工作机制。</w:t>
            </w:r>
          </w:p>
        </w:tc>
        <w:tc>
          <w:tcPr>
            <w:tcW w:w="6197" w:type="dxa"/>
            <w:vAlign w:val="top"/>
          </w:tcPr>
          <w:p>
            <w:pPr>
              <w:rPr>
                <w:rFonts w:ascii="仿宋_GB2312" w:eastAsia="仿宋_GB2312"/>
                <w:sz w:val="24"/>
                <w:szCs w:val="24"/>
              </w:rPr>
            </w:pPr>
            <w:r>
              <w:rPr>
                <w:rFonts w:hint="eastAsia" w:ascii="仿宋_GB2312" w:eastAsia="仿宋_GB2312"/>
                <w:sz w:val="24"/>
                <w:szCs w:val="24"/>
              </w:rPr>
              <w:t>（1）辖区卫生计生行政部门制订实施慢性病防控服务体系建设的方案，</w:t>
            </w:r>
            <w:r>
              <w:rPr>
                <w:rFonts w:hint="eastAsia" w:ascii="仿宋_GB2312" w:eastAsia="仿宋_GB2312"/>
                <w:sz w:val="24"/>
                <w:szCs w:val="24"/>
                <w:lang w:eastAsia="zh-CN"/>
              </w:rPr>
              <w:t>得</w:t>
            </w:r>
            <w:r>
              <w:rPr>
                <w:rFonts w:hint="eastAsia" w:ascii="仿宋_GB2312" w:eastAsia="仿宋_GB2312"/>
                <w:sz w:val="24"/>
                <w:szCs w:val="24"/>
              </w:rPr>
              <w:t>4分。</w:t>
            </w:r>
          </w:p>
          <w:p>
            <w:pPr>
              <w:rPr>
                <w:rFonts w:ascii="仿宋_GB2312" w:eastAsia="仿宋_GB2312"/>
                <w:sz w:val="24"/>
                <w:szCs w:val="24"/>
              </w:rPr>
            </w:pPr>
            <w:r>
              <w:rPr>
                <w:rFonts w:hint="eastAsia" w:ascii="仿宋_GB2312" w:eastAsia="仿宋_GB2312"/>
                <w:sz w:val="24"/>
                <w:szCs w:val="24"/>
              </w:rPr>
              <w:t>（2）明确专业公共卫生机构、医院和基层医疗卫生机构职责，</w:t>
            </w:r>
            <w:r>
              <w:rPr>
                <w:rFonts w:hint="eastAsia" w:ascii="仿宋_GB2312" w:eastAsia="仿宋_GB2312"/>
                <w:sz w:val="24"/>
                <w:szCs w:val="24"/>
                <w:lang w:eastAsia="zh-CN"/>
              </w:rPr>
              <w:t>得</w:t>
            </w:r>
            <w:r>
              <w:rPr>
                <w:rFonts w:hint="eastAsia" w:ascii="仿宋_GB2312" w:eastAsia="仿宋_GB2312"/>
                <w:sz w:val="24"/>
                <w:szCs w:val="24"/>
              </w:rPr>
              <w:t>4分。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8</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查阅文件、实施方案、通知等相关资料。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2.建立完善信息共享、互联互通等的工作机制，推进慢性病防、治、管的整合。</w:t>
            </w:r>
          </w:p>
        </w:tc>
        <w:tc>
          <w:tcPr>
            <w:tcW w:w="6197" w:type="dxa"/>
            <w:vAlign w:val="top"/>
          </w:tcPr>
          <w:p>
            <w:pPr>
              <w:rPr>
                <w:rFonts w:ascii="仿宋_GB2312" w:eastAsia="仿宋_GB2312"/>
                <w:sz w:val="24"/>
                <w:szCs w:val="24"/>
              </w:rPr>
            </w:pPr>
            <w:r>
              <w:rPr>
                <w:rFonts w:hint="eastAsia" w:ascii="仿宋_GB2312" w:eastAsia="仿宋_GB2312"/>
                <w:sz w:val="24"/>
                <w:szCs w:val="24"/>
              </w:rPr>
              <w:t>（1）卫生计生行政部门负责督导慢性病防控服务体系的有效运行，</w:t>
            </w:r>
            <w:r>
              <w:rPr>
                <w:rFonts w:hint="eastAsia" w:ascii="仿宋_GB2312" w:eastAsia="仿宋_GB2312"/>
                <w:sz w:val="24"/>
                <w:szCs w:val="24"/>
                <w:lang w:eastAsia="zh-CN"/>
              </w:rPr>
              <w:t>得</w:t>
            </w:r>
            <w:r>
              <w:rPr>
                <w:rFonts w:hint="eastAsia" w:ascii="仿宋_GB2312" w:eastAsia="仿宋_GB2312"/>
                <w:sz w:val="24"/>
                <w:szCs w:val="24"/>
              </w:rPr>
              <w:t>2分。</w:t>
            </w:r>
          </w:p>
          <w:p>
            <w:pPr>
              <w:rPr>
                <w:rFonts w:ascii="仿宋_GB2312" w:eastAsia="仿宋_GB2312"/>
                <w:sz w:val="24"/>
                <w:szCs w:val="24"/>
              </w:rPr>
            </w:pPr>
            <w:r>
              <w:rPr>
                <w:rFonts w:hint="eastAsia" w:ascii="仿宋_GB2312" w:eastAsia="仿宋_GB2312"/>
                <w:sz w:val="24"/>
                <w:szCs w:val="24"/>
              </w:rPr>
              <w:t>（2）建立完善慢性病防控服务体系的运行、质控、绩效评价机制，</w:t>
            </w:r>
            <w:r>
              <w:rPr>
                <w:rFonts w:hint="eastAsia" w:ascii="仿宋_GB2312" w:eastAsia="仿宋_GB2312"/>
                <w:sz w:val="24"/>
                <w:szCs w:val="24"/>
                <w:lang w:eastAsia="zh-CN"/>
              </w:rPr>
              <w:t>得</w:t>
            </w:r>
            <w:r>
              <w:rPr>
                <w:rFonts w:hint="eastAsia" w:ascii="仿宋_GB2312" w:eastAsia="仿宋_GB2312"/>
                <w:sz w:val="24"/>
                <w:szCs w:val="24"/>
              </w:rPr>
              <w:t>3分。</w:t>
            </w:r>
          </w:p>
          <w:p>
            <w:pPr>
              <w:rPr>
                <w:rFonts w:ascii="仿宋_GB2312" w:eastAsia="仿宋_GB2312"/>
                <w:sz w:val="24"/>
                <w:szCs w:val="24"/>
              </w:rPr>
            </w:pPr>
            <w:r>
              <w:rPr>
                <w:rFonts w:hint="eastAsia" w:ascii="仿宋_GB2312" w:eastAsia="仿宋_GB2312"/>
                <w:sz w:val="24"/>
                <w:szCs w:val="24"/>
              </w:rPr>
              <w:t>（3）疾控、医院对基层医疗卫生机构进行的技术指导和对口支援，建立有效的合作关系，</w:t>
            </w:r>
            <w:r>
              <w:rPr>
                <w:rFonts w:hint="eastAsia" w:ascii="仿宋_GB2312" w:eastAsia="仿宋_GB2312"/>
                <w:sz w:val="24"/>
                <w:szCs w:val="24"/>
                <w:lang w:eastAsia="zh-CN"/>
              </w:rPr>
              <w:t>得</w:t>
            </w:r>
            <w:r>
              <w:rPr>
                <w:rFonts w:hint="eastAsia" w:ascii="仿宋_GB2312" w:eastAsia="仿宋_GB2312"/>
                <w:sz w:val="24"/>
                <w:szCs w:val="24"/>
              </w:rPr>
              <w:t>2分。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7</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查看相关的制度及信息平台,查看防、治、管的情况，查阅相关的文件以及考核兑现情况。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restart"/>
            <w:vAlign w:val="center"/>
          </w:tcPr>
          <w:p>
            <w:pPr>
              <w:jc w:val="left"/>
              <w:rPr>
                <w:rFonts w:ascii="仿宋_GB2312" w:eastAsia="仿宋_GB2312"/>
                <w:sz w:val="28"/>
                <w:szCs w:val="28"/>
              </w:rPr>
            </w:pPr>
            <w:r>
              <w:rPr>
                <w:rFonts w:hint="eastAsia" w:ascii="仿宋_GB2312" w:eastAsia="仿宋_GB2312"/>
                <w:sz w:val="28"/>
                <w:szCs w:val="28"/>
              </w:rPr>
              <w:t>（二）加强慢性病防控队伍建设。（15分）</w:t>
            </w: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1.辖区疾病预防控制机构按职能有独立的慢性病防控科室，配备专职人员。</w:t>
            </w:r>
          </w:p>
        </w:tc>
        <w:tc>
          <w:tcPr>
            <w:tcW w:w="6197" w:type="dxa"/>
            <w:vAlign w:val="top"/>
          </w:tcPr>
          <w:p>
            <w:pPr>
              <w:rPr>
                <w:rFonts w:ascii="仿宋_GB2312" w:eastAsia="仿宋_GB2312"/>
                <w:sz w:val="24"/>
                <w:szCs w:val="24"/>
              </w:rPr>
            </w:pPr>
            <w:r>
              <w:rPr>
                <w:rFonts w:hint="eastAsia" w:ascii="仿宋_GB2312" w:eastAsia="仿宋_GB2312"/>
                <w:sz w:val="24"/>
                <w:szCs w:val="24"/>
              </w:rPr>
              <w:t>（1）疾病预防控制机构有独立的慢性病防控科室，</w:t>
            </w:r>
            <w:r>
              <w:rPr>
                <w:rFonts w:hint="eastAsia" w:ascii="仿宋_GB2312" w:eastAsia="仿宋_GB2312"/>
                <w:sz w:val="24"/>
                <w:szCs w:val="24"/>
                <w:lang w:eastAsia="zh-CN"/>
              </w:rPr>
              <w:t>得</w:t>
            </w:r>
            <w:r>
              <w:rPr>
                <w:rFonts w:hint="eastAsia" w:ascii="仿宋_GB2312" w:eastAsia="仿宋_GB2312"/>
                <w:sz w:val="24"/>
                <w:szCs w:val="24"/>
              </w:rPr>
              <w:t>2分。</w:t>
            </w:r>
          </w:p>
          <w:p>
            <w:pPr>
              <w:rPr>
                <w:rFonts w:ascii="仿宋_GB2312" w:eastAsia="仿宋_GB2312"/>
                <w:sz w:val="24"/>
                <w:szCs w:val="24"/>
              </w:rPr>
            </w:pPr>
            <w:r>
              <w:rPr>
                <w:rFonts w:hint="eastAsia" w:ascii="仿宋_GB2312" w:eastAsia="仿宋_GB2312"/>
                <w:sz w:val="24"/>
                <w:szCs w:val="24"/>
              </w:rPr>
              <w:t>（2）专职人员占</w:t>
            </w:r>
            <w:r>
              <w:rPr>
                <w:rFonts w:ascii="仿宋_GB2312" w:eastAsia="仿宋_GB2312"/>
                <w:sz w:val="24"/>
                <w:szCs w:val="24"/>
              </w:rPr>
              <w:t>本</w:t>
            </w:r>
            <w:r>
              <w:rPr>
                <w:rFonts w:hint="eastAsia" w:ascii="仿宋_GB2312" w:eastAsia="仿宋_GB2312"/>
                <w:sz w:val="24"/>
                <w:szCs w:val="24"/>
              </w:rPr>
              <w:t>机构专业人员总数的比例≥10%，</w:t>
            </w:r>
            <w:r>
              <w:rPr>
                <w:rFonts w:hint="eastAsia" w:ascii="仿宋_GB2312" w:eastAsia="仿宋_GB2312"/>
                <w:sz w:val="24"/>
                <w:szCs w:val="24"/>
                <w:lang w:eastAsia="zh-CN"/>
              </w:rPr>
              <w:t>得</w:t>
            </w:r>
            <w:r>
              <w:rPr>
                <w:rFonts w:hint="eastAsia" w:ascii="仿宋_GB2312" w:eastAsia="仿宋_GB2312"/>
                <w:sz w:val="24"/>
                <w:szCs w:val="24"/>
              </w:rPr>
              <w:t>2分；5-10%，</w:t>
            </w:r>
            <w:r>
              <w:rPr>
                <w:rFonts w:hint="eastAsia" w:ascii="仿宋_GB2312" w:eastAsia="仿宋_GB2312"/>
                <w:sz w:val="24"/>
                <w:szCs w:val="24"/>
                <w:lang w:eastAsia="zh-CN"/>
              </w:rPr>
              <w:t>得</w:t>
            </w:r>
            <w:r>
              <w:rPr>
                <w:rFonts w:hint="eastAsia" w:ascii="仿宋_GB2312" w:eastAsia="仿宋_GB2312"/>
                <w:sz w:val="24"/>
                <w:szCs w:val="24"/>
              </w:rPr>
              <w:t>1分；低于5%不得分。</w:t>
            </w:r>
          </w:p>
          <w:p>
            <w:pPr>
              <w:rPr>
                <w:rFonts w:ascii="仿宋_GB2312" w:eastAsia="仿宋_GB2312"/>
                <w:sz w:val="24"/>
                <w:szCs w:val="24"/>
              </w:rPr>
            </w:pPr>
            <w:r>
              <w:rPr>
                <w:rFonts w:hint="eastAsia" w:ascii="仿宋_GB2312" w:eastAsia="仿宋_GB2312"/>
                <w:sz w:val="24"/>
                <w:szCs w:val="24"/>
              </w:rPr>
              <w:t>（3）每年接受上级</w:t>
            </w:r>
            <w:r>
              <w:rPr>
                <w:rFonts w:ascii="仿宋_GB2312" w:eastAsia="仿宋_GB2312"/>
                <w:sz w:val="24"/>
                <w:szCs w:val="24"/>
              </w:rPr>
              <w:t>专业</w:t>
            </w:r>
            <w:r>
              <w:rPr>
                <w:rFonts w:hint="eastAsia" w:ascii="仿宋_GB2312" w:eastAsia="仿宋_GB2312"/>
                <w:sz w:val="24"/>
                <w:szCs w:val="24"/>
              </w:rPr>
              <w:t>培训不少于2次，</w:t>
            </w:r>
            <w:r>
              <w:rPr>
                <w:rFonts w:hint="eastAsia" w:ascii="仿宋_GB2312" w:eastAsia="仿宋_GB2312"/>
                <w:sz w:val="24"/>
                <w:szCs w:val="24"/>
                <w:lang w:eastAsia="zh-CN"/>
              </w:rPr>
              <w:t>得</w:t>
            </w:r>
            <w:r>
              <w:rPr>
                <w:rFonts w:hint="eastAsia" w:ascii="仿宋_GB2312" w:eastAsia="仿宋_GB2312"/>
                <w:sz w:val="24"/>
                <w:szCs w:val="24"/>
              </w:rPr>
              <w:t>1分。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5</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查阅文件、通知等资料。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2.二级以上医院配备公共卫生专业人员，履行相应的公共卫生职责。</w:t>
            </w:r>
          </w:p>
        </w:tc>
        <w:tc>
          <w:tcPr>
            <w:tcW w:w="6197" w:type="dxa"/>
            <w:vAlign w:val="top"/>
          </w:tcPr>
          <w:p>
            <w:pPr>
              <w:rPr>
                <w:rFonts w:ascii="仿宋_GB2312" w:eastAsia="仿宋_GB2312"/>
                <w:sz w:val="24"/>
                <w:szCs w:val="24"/>
              </w:rPr>
            </w:pPr>
            <w:r>
              <w:rPr>
                <w:rFonts w:hint="eastAsia" w:ascii="仿宋_GB2312" w:eastAsia="仿宋_GB2312"/>
                <w:sz w:val="24"/>
                <w:szCs w:val="24"/>
              </w:rPr>
              <w:t>（1）二级以上医院有承担疾病预防控制工作的部门，</w:t>
            </w:r>
            <w:r>
              <w:rPr>
                <w:rFonts w:hint="eastAsia" w:ascii="仿宋_GB2312" w:eastAsia="仿宋_GB2312"/>
                <w:sz w:val="24"/>
                <w:szCs w:val="24"/>
                <w:lang w:eastAsia="zh-CN"/>
              </w:rPr>
              <w:t>得</w:t>
            </w:r>
            <w:r>
              <w:rPr>
                <w:rFonts w:hint="eastAsia" w:ascii="仿宋_GB2312" w:eastAsia="仿宋_GB2312"/>
                <w:sz w:val="24"/>
                <w:szCs w:val="24"/>
              </w:rPr>
              <w:t>2分。</w:t>
            </w:r>
          </w:p>
          <w:p>
            <w:pPr>
              <w:rPr>
                <w:rFonts w:ascii="仿宋_GB2312" w:eastAsia="仿宋_GB2312"/>
                <w:sz w:val="24"/>
                <w:szCs w:val="24"/>
              </w:rPr>
            </w:pPr>
            <w:r>
              <w:rPr>
                <w:rFonts w:hint="eastAsia" w:ascii="仿宋_GB2312" w:eastAsia="仿宋_GB2312"/>
                <w:sz w:val="24"/>
                <w:szCs w:val="24"/>
              </w:rPr>
              <w:t>（2）二级以上医院有专职的公共卫生人员承担慢性病防控工作，</w:t>
            </w:r>
            <w:r>
              <w:rPr>
                <w:rFonts w:hint="eastAsia" w:ascii="仿宋_GB2312" w:eastAsia="仿宋_GB2312"/>
                <w:sz w:val="24"/>
                <w:szCs w:val="24"/>
                <w:lang w:eastAsia="zh-CN"/>
              </w:rPr>
              <w:t>得</w:t>
            </w:r>
            <w:r>
              <w:rPr>
                <w:rFonts w:hint="eastAsia" w:ascii="仿宋_GB2312" w:eastAsia="仿宋_GB2312"/>
                <w:sz w:val="24"/>
                <w:szCs w:val="24"/>
              </w:rPr>
              <w:t>2分。</w:t>
            </w:r>
          </w:p>
          <w:p>
            <w:pPr>
              <w:rPr>
                <w:rFonts w:ascii="仿宋_GB2312" w:eastAsia="仿宋_GB2312"/>
                <w:sz w:val="24"/>
                <w:szCs w:val="24"/>
              </w:rPr>
            </w:pPr>
            <w:r>
              <w:rPr>
                <w:rFonts w:hint="eastAsia" w:ascii="仿宋_GB2312" w:eastAsia="仿宋_GB2312"/>
                <w:sz w:val="24"/>
                <w:szCs w:val="24"/>
              </w:rPr>
              <w:t>（3）二级以上医院每年组织对辖区基层医疗机构的</w:t>
            </w:r>
            <w:r>
              <w:rPr>
                <w:rFonts w:ascii="仿宋_GB2312" w:eastAsia="仿宋_GB2312"/>
                <w:sz w:val="24"/>
                <w:szCs w:val="24"/>
              </w:rPr>
              <w:t>慢病专业</w:t>
            </w:r>
            <w:r>
              <w:rPr>
                <w:rFonts w:hint="eastAsia" w:ascii="仿宋_GB2312" w:eastAsia="仿宋_GB2312"/>
                <w:sz w:val="24"/>
                <w:szCs w:val="24"/>
              </w:rPr>
              <w:t>培训不少于2次，</w:t>
            </w:r>
            <w:r>
              <w:rPr>
                <w:rFonts w:hint="eastAsia" w:ascii="仿宋_GB2312" w:eastAsia="仿宋_GB2312"/>
                <w:sz w:val="24"/>
                <w:szCs w:val="24"/>
                <w:lang w:eastAsia="zh-CN"/>
              </w:rPr>
              <w:t>得</w:t>
            </w:r>
            <w:r>
              <w:rPr>
                <w:rFonts w:hint="eastAsia" w:ascii="仿宋_GB2312" w:eastAsia="仿宋_GB2312"/>
                <w:sz w:val="24"/>
                <w:szCs w:val="24"/>
              </w:rPr>
              <w:t>1分。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5</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查阅资料并现场走访核实，掌握培训开展的情况。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3.基层医疗卫生机构加强公共卫生服务能力建设，承担所在区域慢性病防控工作。</w:t>
            </w:r>
          </w:p>
        </w:tc>
        <w:tc>
          <w:tcPr>
            <w:tcW w:w="6197" w:type="dxa"/>
            <w:vAlign w:val="top"/>
          </w:tcPr>
          <w:p>
            <w:pPr>
              <w:rPr>
                <w:rFonts w:ascii="仿宋_GB2312" w:eastAsia="仿宋_GB2312"/>
                <w:sz w:val="24"/>
                <w:szCs w:val="24"/>
              </w:rPr>
            </w:pPr>
            <w:r>
              <w:rPr>
                <w:rFonts w:hint="eastAsia" w:ascii="仿宋_GB2312" w:eastAsia="仿宋_GB2312"/>
                <w:sz w:val="24"/>
                <w:szCs w:val="24"/>
              </w:rPr>
              <w:t>（1）基层医疗机构设有单独的科室负责慢性病防控工作，</w:t>
            </w:r>
            <w:r>
              <w:rPr>
                <w:rFonts w:hint="eastAsia" w:ascii="仿宋_GB2312" w:eastAsia="仿宋_GB2312"/>
                <w:sz w:val="24"/>
                <w:szCs w:val="24"/>
                <w:lang w:eastAsia="zh-CN"/>
              </w:rPr>
              <w:t>得</w:t>
            </w:r>
            <w:r>
              <w:rPr>
                <w:rFonts w:hint="eastAsia" w:ascii="仿宋_GB2312" w:eastAsia="仿宋_GB2312"/>
                <w:sz w:val="24"/>
                <w:szCs w:val="24"/>
              </w:rPr>
              <w:t>1分。</w:t>
            </w:r>
          </w:p>
          <w:p>
            <w:pPr>
              <w:rPr>
                <w:rFonts w:ascii="仿宋_GB2312" w:eastAsia="仿宋_GB2312"/>
                <w:sz w:val="24"/>
                <w:szCs w:val="24"/>
              </w:rPr>
            </w:pPr>
            <w:r>
              <w:rPr>
                <w:rFonts w:hint="eastAsia" w:ascii="仿宋_GB2312" w:eastAsia="仿宋_GB2312"/>
                <w:sz w:val="24"/>
                <w:szCs w:val="24"/>
              </w:rPr>
              <w:t>（2）基层医疗机构有专职的公共卫生人员承担慢性病防控工作，</w:t>
            </w:r>
            <w:r>
              <w:rPr>
                <w:rFonts w:hint="eastAsia" w:ascii="仿宋_GB2312" w:eastAsia="仿宋_GB2312"/>
                <w:sz w:val="24"/>
                <w:szCs w:val="24"/>
                <w:lang w:eastAsia="zh-CN"/>
              </w:rPr>
              <w:t>得</w:t>
            </w:r>
            <w:r>
              <w:rPr>
                <w:rFonts w:hint="eastAsia" w:ascii="仿宋_GB2312" w:eastAsia="仿宋_GB2312"/>
                <w:sz w:val="24"/>
                <w:szCs w:val="24"/>
              </w:rPr>
              <w:t>2分。</w:t>
            </w:r>
          </w:p>
          <w:p>
            <w:pPr>
              <w:rPr>
                <w:rFonts w:ascii="仿宋_GB2312" w:eastAsia="仿宋_GB2312"/>
                <w:sz w:val="24"/>
                <w:szCs w:val="24"/>
              </w:rPr>
            </w:pPr>
            <w:r>
              <w:rPr>
                <w:rFonts w:hint="eastAsia" w:ascii="仿宋_GB2312" w:eastAsia="仿宋_GB2312"/>
                <w:sz w:val="24"/>
                <w:szCs w:val="24"/>
              </w:rPr>
              <w:t>（3）基层医疗机构每年接受上级培训不少于4次，</w:t>
            </w:r>
            <w:r>
              <w:rPr>
                <w:rFonts w:hint="eastAsia" w:ascii="仿宋_GB2312" w:eastAsia="仿宋_GB2312"/>
                <w:sz w:val="24"/>
                <w:szCs w:val="24"/>
                <w:lang w:eastAsia="zh-CN"/>
              </w:rPr>
              <w:t>得</w:t>
            </w:r>
            <w:r>
              <w:rPr>
                <w:rFonts w:hint="eastAsia" w:ascii="仿宋_GB2312" w:eastAsia="仿宋_GB2312"/>
                <w:sz w:val="24"/>
                <w:szCs w:val="24"/>
              </w:rPr>
              <w:t>1分。</w:t>
            </w:r>
          </w:p>
          <w:p>
            <w:pPr>
              <w:rPr>
                <w:rFonts w:ascii="仿宋_GB2312" w:eastAsia="仿宋_GB2312"/>
                <w:sz w:val="24"/>
                <w:szCs w:val="24"/>
              </w:rPr>
            </w:pPr>
            <w:r>
              <w:rPr>
                <w:rFonts w:hint="eastAsia" w:ascii="仿宋_GB2312" w:eastAsia="仿宋_GB2312"/>
                <w:sz w:val="24"/>
                <w:szCs w:val="24"/>
              </w:rPr>
              <w:t>（4）基层医疗机构每年组织对村医或社区卫生服务站医护人员的培训不少于2次，</w:t>
            </w:r>
            <w:r>
              <w:rPr>
                <w:rFonts w:hint="eastAsia" w:ascii="仿宋_GB2312" w:eastAsia="仿宋_GB2312"/>
                <w:sz w:val="24"/>
                <w:szCs w:val="24"/>
                <w:lang w:eastAsia="zh-CN"/>
              </w:rPr>
              <w:t>得</w:t>
            </w:r>
            <w:r>
              <w:rPr>
                <w:rFonts w:hint="eastAsia" w:ascii="仿宋_GB2312" w:eastAsia="仿宋_GB2312"/>
                <w:sz w:val="24"/>
                <w:szCs w:val="24"/>
              </w:rPr>
              <w:t>1分；不设村或社区卫生服务站的基层医疗机构每年有组织机构内部相关慢病培训不少于2次，</w:t>
            </w:r>
            <w:r>
              <w:rPr>
                <w:rFonts w:hint="eastAsia" w:ascii="仿宋_GB2312" w:eastAsia="仿宋_GB2312"/>
                <w:sz w:val="24"/>
                <w:szCs w:val="24"/>
                <w:lang w:eastAsia="zh-CN"/>
              </w:rPr>
              <w:t>得</w:t>
            </w:r>
            <w:r>
              <w:rPr>
                <w:rFonts w:hint="eastAsia" w:ascii="仿宋_GB2312" w:eastAsia="仿宋_GB2312"/>
                <w:sz w:val="24"/>
                <w:szCs w:val="24"/>
              </w:rPr>
              <w:t>1分。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5</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查阅资料并现场走访核实，掌握培训开展的情况。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restart"/>
            <w:vAlign w:val="center"/>
          </w:tcPr>
          <w:p>
            <w:pPr>
              <w:jc w:val="center"/>
              <w:rPr>
                <w:rFonts w:ascii="仿宋_GB2312" w:eastAsia="仿宋_GB2312"/>
                <w:sz w:val="28"/>
                <w:szCs w:val="28"/>
              </w:rPr>
            </w:pPr>
            <w:r>
              <w:rPr>
                <w:rFonts w:hint="eastAsia" w:ascii="仿宋_GB2312" w:eastAsia="仿宋_GB2312"/>
                <w:sz w:val="28"/>
                <w:szCs w:val="28"/>
              </w:rPr>
              <w:t>四、健康教育与健康促进</w:t>
            </w:r>
          </w:p>
          <w:p>
            <w:pPr>
              <w:jc w:val="center"/>
              <w:rPr>
                <w:rFonts w:ascii="仿宋_GB2312" w:eastAsia="仿宋_GB2312"/>
                <w:sz w:val="28"/>
                <w:szCs w:val="28"/>
              </w:rPr>
            </w:pPr>
            <w:r>
              <w:rPr>
                <w:rFonts w:hint="eastAsia" w:ascii="仿宋_GB2312" w:eastAsia="仿宋_GB2312"/>
                <w:sz w:val="28"/>
                <w:szCs w:val="28"/>
              </w:rPr>
              <w:t>（28分）</w:t>
            </w:r>
          </w:p>
        </w:tc>
        <w:tc>
          <w:tcPr>
            <w:tcW w:w="1975" w:type="dxa"/>
            <w:vMerge w:val="restart"/>
            <w:vAlign w:val="center"/>
          </w:tcPr>
          <w:p>
            <w:pPr>
              <w:jc w:val="left"/>
              <w:rPr>
                <w:rFonts w:ascii="仿宋_GB2312" w:eastAsia="仿宋_GB2312"/>
                <w:sz w:val="28"/>
                <w:szCs w:val="28"/>
              </w:rPr>
            </w:pPr>
            <w:r>
              <w:rPr>
                <w:rFonts w:hint="eastAsia" w:ascii="仿宋_GB2312" w:eastAsia="仿宋_GB2312"/>
                <w:sz w:val="28"/>
                <w:szCs w:val="28"/>
              </w:rPr>
              <w:t>（一）通过多种渠道积极开展慢性病防治全民健康教育。（10分）</w:t>
            </w:r>
          </w:p>
        </w:tc>
        <w:tc>
          <w:tcPr>
            <w:tcW w:w="2260" w:type="dxa"/>
            <w:vAlign w:val="top"/>
          </w:tcPr>
          <w:p>
            <w:pPr>
              <w:widowControl/>
              <w:adjustRightInd w:val="0"/>
              <w:snapToGrid w:val="0"/>
              <w:spacing w:beforeLines="0" w:afterLines="0" w:line="300" w:lineRule="exact"/>
              <w:rPr>
                <w:rFonts w:ascii="仿宋_GB2312" w:eastAsia="仿宋_GB2312" w:cs="宋体"/>
                <w:kern w:val="0"/>
                <w:sz w:val="24"/>
                <w:szCs w:val="24"/>
              </w:rPr>
            </w:pPr>
            <w:r>
              <w:rPr>
                <w:rFonts w:hint="eastAsia" w:ascii="仿宋_GB2312" w:eastAsia="仿宋_GB2312" w:cs="宋体"/>
                <w:kern w:val="0"/>
                <w:sz w:val="24"/>
                <w:szCs w:val="24"/>
              </w:rPr>
              <w:t>1.广泛开展健康教育，定期传播慢性病防治和健康素养知识和技能。</w:t>
            </w:r>
          </w:p>
        </w:tc>
        <w:tc>
          <w:tcPr>
            <w:tcW w:w="6197" w:type="dxa"/>
            <w:vAlign w:val="top"/>
          </w:tcPr>
          <w:p>
            <w:pPr>
              <w:rPr>
                <w:rFonts w:ascii="仿宋_GB2312" w:eastAsia="仿宋_GB2312"/>
                <w:sz w:val="24"/>
                <w:szCs w:val="24"/>
              </w:rPr>
            </w:pPr>
            <w:r>
              <w:rPr>
                <w:rFonts w:hint="eastAsia" w:ascii="仿宋_GB2312" w:eastAsia="仿宋_GB2312"/>
                <w:sz w:val="24"/>
                <w:szCs w:val="24"/>
              </w:rPr>
              <w:t>（1）利用传统媒体和互联网等新媒体广泛开展慢性病防治和健康教育，每月不少于2次，</w:t>
            </w:r>
            <w:r>
              <w:rPr>
                <w:rFonts w:hint="eastAsia" w:ascii="仿宋_GB2312" w:eastAsia="仿宋_GB2312"/>
                <w:sz w:val="24"/>
                <w:szCs w:val="24"/>
                <w:lang w:eastAsia="zh-CN"/>
              </w:rPr>
              <w:t>得</w:t>
            </w:r>
            <w:r>
              <w:rPr>
                <w:rFonts w:hint="eastAsia" w:ascii="仿宋_GB2312" w:eastAsia="仿宋_GB2312"/>
                <w:sz w:val="24"/>
                <w:szCs w:val="24"/>
              </w:rPr>
              <w:t>2分。</w:t>
            </w:r>
          </w:p>
          <w:p>
            <w:pPr>
              <w:rPr>
                <w:rFonts w:ascii="仿宋_GB2312" w:eastAsia="仿宋_GB2312"/>
                <w:sz w:val="24"/>
                <w:szCs w:val="24"/>
              </w:rPr>
            </w:pP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查阅媒体实施方案、印刷品、影音资料等传播工作记录资料。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2.开展社会性大型健康日活动，扩大传播慢性病防治和慢病健康素养知识和技能的范围。</w:t>
            </w:r>
          </w:p>
        </w:tc>
        <w:tc>
          <w:tcPr>
            <w:tcW w:w="6197" w:type="dxa"/>
            <w:vAlign w:val="top"/>
          </w:tcPr>
          <w:p>
            <w:pPr>
              <w:rPr>
                <w:rFonts w:ascii="仿宋_GB2312" w:eastAsia="仿宋_GB2312"/>
                <w:sz w:val="24"/>
                <w:szCs w:val="24"/>
              </w:rPr>
            </w:pPr>
            <w:r>
              <w:rPr>
                <w:rFonts w:hint="eastAsia" w:ascii="仿宋_GB2312" w:eastAsia="仿宋_GB2312"/>
                <w:sz w:val="24"/>
                <w:szCs w:val="24"/>
              </w:rPr>
              <w:t>辖区每年至少开展4次健康主题日大型宣传活动，应包括肿瘤宣传周、全国高血压日、世界糖尿病日、全民健康生活方式日、爱牙日、世界脑卒中日等，</w:t>
            </w:r>
            <w:r>
              <w:rPr>
                <w:rFonts w:hint="eastAsia" w:ascii="仿宋_GB2312" w:eastAsia="仿宋_GB2312"/>
                <w:sz w:val="24"/>
                <w:szCs w:val="24"/>
                <w:lang w:eastAsia="zh-CN"/>
              </w:rPr>
              <w:t>得</w:t>
            </w:r>
            <w:r>
              <w:rPr>
                <w:rFonts w:hint="eastAsia" w:ascii="仿宋_GB2312" w:eastAsia="仿宋_GB2312"/>
                <w:sz w:val="24"/>
                <w:szCs w:val="24"/>
              </w:rPr>
              <w:t>2分。</w:t>
            </w:r>
            <w:r>
              <w:rPr>
                <w:rFonts w:hint="eastAsia" w:ascii="仿宋_GB2312" w:eastAsia="仿宋_GB2312"/>
                <w:sz w:val="24"/>
                <w:szCs w:val="24"/>
              </w:rPr>
              <w:br w:type="textWrapping"/>
            </w:r>
            <w:r>
              <w:rPr>
                <w:rFonts w:hint="eastAsia" w:ascii="仿宋_GB2312" w:eastAsia="仿宋_GB2312"/>
                <w:sz w:val="24"/>
                <w:szCs w:val="24"/>
              </w:rPr>
              <w:t>大型活动是指参与人数超过300人(含分会场)。</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w:t>
            </w:r>
          </w:p>
        </w:tc>
        <w:tc>
          <w:tcPr>
            <w:tcW w:w="2289" w:type="dxa"/>
            <w:vAlign w:val="top"/>
          </w:tcPr>
          <w:p>
            <w:pPr>
              <w:widowControl/>
              <w:adjustRightInd w:val="0"/>
              <w:snapToGrid w:val="0"/>
              <w:spacing w:beforeLines="0" w:afterLines="0" w:line="300" w:lineRule="exact"/>
              <w:rPr>
                <w:rFonts w:ascii="仿宋_GB2312" w:eastAsia="仿宋_GB2312" w:cs="宋体"/>
                <w:kern w:val="0"/>
                <w:sz w:val="24"/>
                <w:szCs w:val="24"/>
              </w:rPr>
            </w:pPr>
            <w:r>
              <w:rPr>
                <w:rFonts w:hint="eastAsia" w:ascii="仿宋_GB2312" w:eastAsia="仿宋_GB2312" w:cs="宋体"/>
                <w:spacing w:val="-13"/>
                <w:kern w:val="0"/>
                <w:sz w:val="24"/>
                <w:szCs w:val="24"/>
              </w:rPr>
              <w:t>查阅宣传活动照片、印刷品、海报、工作资料、记录、活动计划、展板图片、影音资料等现场工作记录。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3.各社区设有健康教育宣传阵地，向居民普及慢性病防控的知识与技能。</w:t>
            </w:r>
          </w:p>
        </w:tc>
        <w:tc>
          <w:tcPr>
            <w:tcW w:w="6197" w:type="dxa"/>
            <w:vAlign w:val="top"/>
          </w:tcPr>
          <w:p>
            <w:pPr>
              <w:rPr>
                <w:rFonts w:ascii="仿宋_GB2312" w:eastAsia="仿宋_GB2312"/>
                <w:sz w:val="24"/>
                <w:szCs w:val="24"/>
              </w:rPr>
            </w:pPr>
            <w:r>
              <w:rPr>
                <w:rFonts w:hint="eastAsia" w:ascii="仿宋_GB2312" w:eastAsia="仿宋_GB2312"/>
                <w:sz w:val="24"/>
                <w:szCs w:val="24"/>
              </w:rPr>
              <w:t>（1）健康教育活动室在当地社区的覆盖率达100%，</w:t>
            </w:r>
            <w:r>
              <w:rPr>
                <w:rFonts w:hint="eastAsia" w:ascii="仿宋_GB2312" w:eastAsia="仿宋_GB2312"/>
                <w:sz w:val="24"/>
                <w:szCs w:val="24"/>
                <w:lang w:eastAsia="zh-CN"/>
              </w:rPr>
              <w:t>得</w:t>
            </w:r>
            <w:r>
              <w:rPr>
                <w:rFonts w:hint="eastAsia" w:ascii="仿宋_GB2312" w:eastAsia="仿宋_GB2312"/>
                <w:sz w:val="24"/>
                <w:szCs w:val="24"/>
              </w:rPr>
              <w:t>1分。</w:t>
            </w:r>
            <w:r>
              <w:rPr>
                <w:rFonts w:hint="eastAsia" w:ascii="仿宋_GB2312" w:eastAsia="仿宋_GB2312"/>
                <w:sz w:val="24"/>
                <w:szCs w:val="24"/>
              </w:rPr>
              <w:br w:type="textWrapping"/>
            </w:r>
            <w:r>
              <w:rPr>
                <w:rFonts w:hint="eastAsia" w:ascii="仿宋_GB2312" w:eastAsia="仿宋_GB2312"/>
                <w:sz w:val="24"/>
                <w:szCs w:val="24"/>
              </w:rPr>
              <w:t>（2）健康宣传栏社区覆盖率≥90%，内容至少2个月更新1次，</w:t>
            </w:r>
            <w:r>
              <w:rPr>
                <w:rFonts w:hint="eastAsia" w:ascii="仿宋_GB2312" w:eastAsia="仿宋_GB2312"/>
                <w:sz w:val="24"/>
                <w:szCs w:val="24"/>
                <w:lang w:eastAsia="zh-CN"/>
              </w:rPr>
              <w:t>得</w:t>
            </w:r>
            <w:r>
              <w:rPr>
                <w:rFonts w:hint="eastAsia" w:ascii="仿宋_GB2312" w:eastAsia="仿宋_GB2312"/>
                <w:sz w:val="24"/>
                <w:szCs w:val="24"/>
              </w:rPr>
              <w:t>1分。</w:t>
            </w:r>
            <w:r>
              <w:rPr>
                <w:rFonts w:hint="eastAsia" w:ascii="仿宋_GB2312" w:eastAsia="仿宋_GB2312"/>
                <w:sz w:val="24"/>
                <w:szCs w:val="24"/>
              </w:rPr>
              <w:br w:type="textWrapping"/>
            </w:r>
            <w:r>
              <w:rPr>
                <w:rFonts w:hint="eastAsia" w:ascii="仿宋_GB2312" w:eastAsia="仿宋_GB2312"/>
                <w:sz w:val="24"/>
                <w:szCs w:val="24"/>
              </w:rPr>
              <w:t>（3）社区健康讲座每年≥4次，每次不少于50人，</w:t>
            </w:r>
            <w:r>
              <w:rPr>
                <w:rFonts w:hint="eastAsia" w:ascii="仿宋_GB2312" w:eastAsia="仿宋_GB2312"/>
                <w:sz w:val="24"/>
                <w:szCs w:val="24"/>
                <w:lang w:eastAsia="zh-CN"/>
              </w:rPr>
              <w:t>得</w:t>
            </w:r>
            <w:r>
              <w:rPr>
                <w:rFonts w:hint="eastAsia" w:ascii="仿宋_GB2312" w:eastAsia="仿宋_GB2312"/>
                <w:sz w:val="24"/>
                <w:szCs w:val="24"/>
              </w:rPr>
              <w:t>1分。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查阅资料、现场评估。查阅活动室、健康讲座与社区宣传栏的计划或分布表、工作记录、宣传材料；抽取2个点现场观察实际执行情况。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4.开展幼儿园、中小学校健康行为方式教育。</w:t>
            </w:r>
          </w:p>
        </w:tc>
        <w:tc>
          <w:tcPr>
            <w:tcW w:w="6197" w:type="dxa"/>
            <w:vAlign w:val="top"/>
          </w:tcPr>
          <w:p>
            <w:pPr>
              <w:rPr>
                <w:rFonts w:ascii="仿宋_GB2312" w:eastAsia="仿宋_GB2312"/>
                <w:sz w:val="24"/>
                <w:szCs w:val="24"/>
              </w:rPr>
            </w:pPr>
            <w:r>
              <w:rPr>
                <w:rFonts w:hint="eastAsia" w:ascii="仿宋_GB2312" w:eastAsia="仿宋_GB2312"/>
                <w:sz w:val="24"/>
                <w:szCs w:val="24"/>
              </w:rPr>
              <w:t>（1）幼儿园、中小学校开设健康教育课覆盖率达100%，</w:t>
            </w:r>
            <w:r>
              <w:rPr>
                <w:rFonts w:hint="eastAsia" w:ascii="仿宋_GB2312" w:eastAsia="仿宋_GB2312"/>
                <w:sz w:val="24"/>
                <w:szCs w:val="24"/>
                <w:lang w:eastAsia="zh-CN"/>
              </w:rPr>
              <w:t>得</w:t>
            </w:r>
            <w:r>
              <w:rPr>
                <w:rFonts w:hint="eastAsia" w:ascii="仿宋_GB2312" w:eastAsia="仿宋_GB2312"/>
                <w:sz w:val="24"/>
                <w:szCs w:val="24"/>
              </w:rPr>
              <w:t>1分。</w:t>
            </w:r>
            <w:r>
              <w:rPr>
                <w:rFonts w:hint="eastAsia" w:ascii="仿宋_GB2312" w:eastAsia="仿宋_GB2312"/>
                <w:sz w:val="24"/>
                <w:szCs w:val="24"/>
              </w:rPr>
              <w:br w:type="textWrapping"/>
            </w:r>
            <w:r>
              <w:rPr>
                <w:rFonts w:hint="eastAsia" w:ascii="仿宋_GB2312" w:eastAsia="仿宋_GB2312"/>
                <w:sz w:val="24"/>
                <w:szCs w:val="24"/>
              </w:rPr>
              <w:t>（2）健康教育课包括营养均衡、口腔保健、健康体重、视力保护等内容，每学期以班级为单位，课程≥6学时，</w:t>
            </w:r>
            <w:r>
              <w:rPr>
                <w:rFonts w:hint="eastAsia" w:ascii="仿宋_GB2312" w:eastAsia="仿宋_GB2312"/>
                <w:sz w:val="24"/>
                <w:szCs w:val="24"/>
                <w:lang w:eastAsia="zh-CN"/>
              </w:rPr>
              <w:t>得</w:t>
            </w:r>
            <w:r>
              <w:rPr>
                <w:rFonts w:hint="eastAsia" w:ascii="仿宋_GB2312" w:eastAsia="仿宋_GB2312"/>
                <w:sz w:val="24"/>
                <w:szCs w:val="24"/>
              </w:rPr>
              <w:t>2分；低于6学时不得分。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查阅资料、现场评估。查阅授课计划、教材、教案、课程表，抽取1个点现场观察实际执行情况，进行现场观摩。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3" w:type="dxa"/>
            <w:vMerge w:val="continue"/>
            <w:vAlign w:val="center"/>
          </w:tcPr>
          <w:p>
            <w:pPr>
              <w:jc w:val="center"/>
              <w:rPr>
                <w:rFonts w:ascii="仿宋_GB2312" w:eastAsia="仿宋_GB2312"/>
                <w:sz w:val="28"/>
                <w:szCs w:val="28"/>
              </w:rPr>
            </w:pPr>
          </w:p>
        </w:tc>
        <w:tc>
          <w:tcPr>
            <w:tcW w:w="1975" w:type="dxa"/>
            <w:vMerge w:val="restart"/>
            <w:vAlign w:val="center"/>
          </w:tcPr>
          <w:p>
            <w:pPr>
              <w:adjustRightInd w:val="0"/>
              <w:snapToGrid w:val="0"/>
              <w:spacing w:beforeLines="0" w:afterLines="0" w:line="340" w:lineRule="exact"/>
              <w:jc w:val="left"/>
              <w:rPr>
                <w:rFonts w:ascii="仿宋_GB2312" w:eastAsia="仿宋_GB2312"/>
                <w:sz w:val="28"/>
                <w:szCs w:val="28"/>
              </w:rPr>
            </w:pPr>
            <w:r>
              <w:rPr>
                <w:rFonts w:hint="eastAsia" w:ascii="仿宋_GB2312" w:eastAsia="仿宋_GB2312"/>
                <w:sz w:val="28"/>
                <w:szCs w:val="28"/>
              </w:rPr>
              <w:t>（二）提高居民重点慢性病核心知识知晓率和居民健康素养水平。</w:t>
            </w:r>
          </w:p>
          <w:p>
            <w:pPr>
              <w:adjustRightInd w:val="0"/>
              <w:snapToGrid w:val="0"/>
              <w:spacing w:beforeLines="0" w:afterLines="0" w:line="340" w:lineRule="exact"/>
              <w:jc w:val="left"/>
              <w:rPr>
                <w:rFonts w:ascii="仿宋_GB2312" w:eastAsia="仿宋_GB2312"/>
                <w:sz w:val="28"/>
                <w:szCs w:val="28"/>
              </w:rPr>
            </w:pPr>
            <w:r>
              <w:rPr>
                <w:rFonts w:hint="eastAsia" w:ascii="仿宋_GB2312" w:eastAsia="仿宋_GB2312"/>
                <w:sz w:val="28"/>
                <w:szCs w:val="28"/>
              </w:rPr>
              <w:t>（10分）</w:t>
            </w: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1.提高居民重点慢性病核心知识知晓率。</w:t>
            </w:r>
          </w:p>
        </w:tc>
        <w:tc>
          <w:tcPr>
            <w:tcW w:w="6197" w:type="dxa"/>
            <w:vAlign w:val="top"/>
          </w:tcPr>
          <w:p>
            <w:pPr>
              <w:rPr>
                <w:rFonts w:ascii="仿宋_GB2312" w:eastAsia="仿宋_GB2312"/>
                <w:sz w:val="24"/>
                <w:szCs w:val="24"/>
              </w:rPr>
            </w:pPr>
            <w:r>
              <w:rPr>
                <w:rFonts w:hint="eastAsia" w:ascii="仿宋_GB2312" w:eastAsia="仿宋_GB2312"/>
                <w:sz w:val="24"/>
                <w:szCs w:val="24"/>
              </w:rPr>
              <w:t>居民重点慢性病核心知识知晓率≥60%，</w:t>
            </w:r>
            <w:r>
              <w:rPr>
                <w:rFonts w:hint="eastAsia" w:ascii="仿宋_GB2312" w:eastAsia="仿宋_GB2312"/>
                <w:sz w:val="24"/>
                <w:szCs w:val="24"/>
                <w:lang w:eastAsia="zh-CN"/>
              </w:rPr>
              <w:t>得</w:t>
            </w:r>
            <w:r>
              <w:rPr>
                <w:rFonts w:hint="eastAsia" w:ascii="仿宋_GB2312" w:eastAsia="仿宋_GB2312"/>
                <w:sz w:val="24"/>
                <w:szCs w:val="24"/>
              </w:rPr>
              <w:t>6分；50-60%，</w:t>
            </w:r>
            <w:r>
              <w:rPr>
                <w:rFonts w:hint="eastAsia" w:ascii="仿宋_GB2312" w:eastAsia="仿宋_GB2312"/>
                <w:sz w:val="24"/>
                <w:szCs w:val="24"/>
                <w:lang w:eastAsia="zh-CN"/>
              </w:rPr>
              <w:t>得</w:t>
            </w:r>
            <w:r>
              <w:rPr>
                <w:rFonts w:hint="eastAsia" w:ascii="仿宋_GB2312" w:eastAsia="仿宋_GB2312"/>
                <w:sz w:val="24"/>
                <w:szCs w:val="24"/>
              </w:rPr>
              <w:t>4分；低于50%不得分。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6</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查阅社会因素调查报告，工作记录等资料，结合现场抽查完成。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2.提高居民健康素养水平。</w:t>
            </w:r>
          </w:p>
        </w:tc>
        <w:tc>
          <w:tcPr>
            <w:tcW w:w="6197" w:type="dxa"/>
            <w:vAlign w:val="top"/>
          </w:tcPr>
          <w:p>
            <w:pPr>
              <w:rPr>
                <w:rFonts w:ascii="仿宋_GB2312" w:eastAsia="仿宋_GB2312"/>
                <w:sz w:val="24"/>
                <w:szCs w:val="24"/>
              </w:rPr>
            </w:pPr>
            <w:r>
              <w:rPr>
                <w:rFonts w:hint="eastAsia" w:ascii="仿宋_GB2312" w:eastAsia="仿宋_GB2312"/>
                <w:sz w:val="24"/>
                <w:szCs w:val="24"/>
              </w:rPr>
              <w:t>居民健康素养水平达到20%，</w:t>
            </w:r>
            <w:r>
              <w:rPr>
                <w:rFonts w:hint="eastAsia" w:ascii="仿宋_GB2312" w:eastAsia="仿宋_GB2312"/>
                <w:sz w:val="24"/>
                <w:szCs w:val="24"/>
                <w:lang w:eastAsia="zh-CN"/>
              </w:rPr>
              <w:t>得</w:t>
            </w:r>
            <w:r>
              <w:rPr>
                <w:rFonts w:hint="eastAsia" w:ascii="仿宋_GB2312" w:eastAsia="仿宋_GB2312"/>
                <w:sz w:val="24"/>
                <w:szCs w:val="24"/>
              </w:rPr>
              <w:t>4分；10-20%，</w:t>
            </w:r>
            <w:r>
              <w:rPr>
                <w:rFonts w:hint="eastAsia" w:ascii="仿宋_GB2312" w:eastAsia="仿宋_GB2312"/>
                <w:sz w:val="24"/>
                <w:szCs w:val="24"/>
                <w:lang w:eastAsia="zh-CN"/>
              </w:rPr>
              <w:t>得</w:t>
            </w:r>
            <w:r>
              <w:rPr>
                <w:rFonts w:hint="eastAsia" w:ascii="仿宋_GB2312" w:eastAsia="仿宋_GB2312"/>
                <w:sz w:val="24"/>
                <w:szCs w:val="24"/>
              </w:rPr>
              <w:t>3分；10%以下不得分。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查阅社会因素调查报告，工作记录等资料，结合现场抽查完成。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restart"/>
            <w:vAlign w:val="center"/>
          </w:tcPr>
          <w:p>
            <w:pPr>
              <w:jc w:val="left"/>
              <w:rPr>
                <w:rFonts w:ascii="仿宋_GB2312" w:eastAsia="仿宋_GB2312"/>
                <w:sz w:val="28"/>
                <w:szCs w:val="28"/>
              </w:rPr>
            </w:pPr>
            <w:r>
              <w:rPr>
                <w:rFonts w:hint="eastAsia" w:ascii="仿宋_GB2312" w:eastAsia="仿宋_GB2312"/>
                <w:sz w:val="28"/>
                <w:szCs w:val="28"/>
              </w:rPr>
              <w:t>（三）发挥社会团体和群众组织在慢性病防控中的积极作用。</w:t>
            </w:r>
          </w:p>
          <w:p>
            <w:pPr>
              <w:jc w:val="left"/>
              <w:rPr>
                <w:rFonts w:ascii="仿宋_GB2312" w:eastAsia="仿宋_GB2312"/>
                <w:sz w:val="28"/>
                <w:szCs w:val="28"/>
              </w:rPr>
            </w:pPr>
            <w:r>
              <w:rPr>
                <w:rFonts w:hint="eastAsia" w:ascii="仿宋_GB2312" w:eastAsia="仿宋_GB2312"/>
                <w:sz w:val="28"/>
                <w:szCs w:val="28"/>
              </w:rPr>
              <w:t>（8分）</w:t>
            </w: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1.辖区开展群众性健身运动。</w:t>
            </w:r>
          </w:p>
        </w:tc>
        <w:tc>
          <w:tcPr>
            <w:tcW w:w="6197" w:type="dxa"/>
            <w:vAlign w:val="top"/>
          </w:tcPr>
          <w:p>
            <w:pPr>
              <w:rPr>
                <w:rFonts w:ascii="仿宋_GB2312" w:eastAsia="仿宋_GB2312"/>
                <w:sz w:val="24"/>
                <w:szCs w:val="24"/>
              </w:rPr>
            </w:pPr>
            <w:r>
              <w:rPr>
                <w:rFonts w:hint="eastAsia" w:ascii="仿宋_GB2312" w:eastAsia="仿宋_GB2312"/>
                <w:sz w:val="24"/>
                <w:szCs w:val="24"/>
              </w:rPr>
              <w:t>（1）有5个及以上的群众健身团体，</w:t>
            </w:r>
            <w:r>
              <w:rPr>
                <w:rFonts w:hint="eastAsia" w:ascii="仿宋_GB2312" w:eastAsia="仿宋_GB2312"/>
                <w:sz w:val="24"/>
                <w:szCs w:val="24"/>
                <w:lang w:eastAsia="zh-CN"/>
              </w:rPr>
              <w:t>得</w:t>
            </w:r>
            <w:r>
              <w:rPr>
                <w:rFonts w:hint="eastAsia" w:ascii="仿宋_GB2312" w:eastAsia="仿宋_GB2312"/>
                <w:sz w:val="24"/>
                <w:szCs w:val="24"/>
              </w:rPr>
              <w:t>1分。</w:t>
            </w:r>
          </w:p>
          <w:p>
            <w:pPr>
              <w:rPr>
                <w:rFonts w:ascii="仿宋_GB2312" w:eastAsia="仿宋_GB2312"/>
                <w:sz w:val="24"/>
                <w:szCs w:val="24"/>
              </w:rPr>
            </w:pPr>
            <w:r>
              <w:rPr>
                <w:rFonts w:hint="eastAsia" w:ascii="仿宋_GB2312" w:eastAsia="仿宋_GB2312"/>
                <w:sz w:val="24"/>
                <w:szCs w:val="24"/>
              </w:rPr>
              <w:t>（2）配有健康指导员和志愿者，</w:t>
            </w:r>
            <w:r>
              <w:rPr>
                <w:rFonts w:hint="eastAsia" w:ascii="仿宋_GB2312" w:eastAsia="仿宋_GB2312"/>
                <w:sz w:val="24"/>
                <w:szCs w:val="24"/>
                <w:lang w:eastAsia="zh-CN"/>
              </w:rPr>
              <w:t>得</w:t>
            </w:r>
            <w:r>
              <w:rPr>
                <w:rFonts w:hint="eastAsia" w:ascii="仿宋_GB2312" w:eastAsia="仿宋_GB2312"/>
                <w:sz w:val="24"/>
                <w:szCs w:val="24"/>
              </w:rPr>
              <w:t>1分。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1.查阅相关资料：应包括团体的发展过程、人员构成、主要活动内容、辐射区域、活动开展情况、媒体报道等。</w:t>
            </w:r>
          </w:p>
          <w:p>
            <w:pPr>
              <w:widowControl/>
              <w:rPr>
                <w:rFonts w:ascii="仿宋_GB2312" w:eastAsia="仿宋_GB2312" w:cs="宋体"/>
                <w:kern w:val="0"/>
                <w:sz w:val="24"/>
                <w:szCs w:val="24"/>
              </w:rPr>
            </w:pPr>
            <w:r>
              <w:rPr>
                <w:rFonts w:hint="eastAsia" w:ascii="仿宋_GB2312" w:eastAsia="仿宋_GB2312" w:cs="宋体"/>
                <w:kern w:val="0"/>
                <w:sz w:val="24"/>
                <w:szCs w:val="24"/>
              </w:rPr>
              <w:t>2.考核时随机抽取现场走访核实。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2.每年至少开展1次多部门组织的集体性健身活动。</w:t>
            </w:r>
          </w:p>
        </w:tc>
        <w:tc>
          <w:tcPr>
            <w:tcW w:w="6197" w:type="dxa"/>
            <w:vAlign w:val="top"/>
          </w:tcPr>
          <w:p>
            <w:pPr>
              <w:rPr>
                <w:rFonts w:ascii="仿宋_GB2312" w:eastAsia="仿宋_GB2312"/>
                <w:sz w:val="24"/>
                <w:szCs w:val="24"/>
              </w:rPr>
            </w:pPr>
            <w:r>
              <w:rPr>
                <w:rFonts w:hint="eastAsia" w:ascii="仿宋_GB2312" w:eastAsia="仿宋_GB2312"/>
                <w:sz w:val="24"/>
                <w:szCs w:val="24"/>
              </w:rPr>
              <w:t>定期开展政府支持、企事业单位承担参与并积极支持的健身活动，每年≥1次，</w:t>
            </w:r>
            <w:r>
              <w:rPr>
                <w:rFonts w:hint="eastAsia" w:ascii="仿宋_GB2312" w:eastAsia="仿宋_GB2312"/>
                <w:sz w:val="24"/>
                <w:szCs w:val="24"/>
                <w:lang w:eastAsia="zh-CN"/>
              </w:rPr>
              <w:t>得</w:t>
            </w:r>
            <w:r>
              <w:rPr>
                <w:rFonts w:hint="eastAsia" w:ascii="仿宋_GB2312" w:eastAsia="仿宋_GB2312"/>
                <w:sz w:val="24"/>
                <w:szCs w:val="24"/>
              </w:rPr>
              <w:t>2分；未开展不得分。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查阅相关文件、活动方案、活动记录、有关影像材料。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3.鼓励社区慢性病患者积极参与社区自我健康管理活动。</w:t>
            </w:r>
          </w:p>
        </w:tc>
        <w:tc>
          <w:tcPr>
            <w:tcW w:w="6197" w:type="dxa"/>
            <w:vAlign w:val="top"/>
          </w:tcPr>
          <w:p>
            <w:pPr>
              <w:rPr>
                <w:rFonts w:ascii="仿宋_GB2312" w:eastAsia="仿宋_GB2312"/>
                <w:sz w:val="24"/>
                <w:szCs w:val="24"/>
              </w:rPr>
            </w:pPr>
            <w:r>
              <w:rPr>
                <w:rFonts w:hint="eastAsia" w:ascii="仿宋_GB2312" w:eastAsia="仿宋_GB2312"/>
                <w:sz w:val="24"/>
                <w:szCs w:val="24"/>
              </w:rPr>
              <w:t>有自我健康管理小组的社区覆盖率达到</w:t>
            </w:r>
            <w:r>
              <w:rPr>
                <w:rFonts w:ascii="仿宋_GB2312" w:eastAsia="仿宋_GB2312"/>
                <w:sz w:val="24"/>
                <w:szCs w:val="24"/>
              </w:rPr>
              <w:t>50%</w:t>
            </w:r>
            <w:r>
              <w:rPr>
                <w:rFonts w:hint="eastAsia" w:ascii="仿宋_GB2312" w:eastAsia="仿宋_GB2312"/>
                <w:sz w:val="24"/>
                <w:szCs w:val="24"/>
              </w:rPr>
              <w:t>，</w:t>
            </w:r>
            <w:r>
              <w:rPr>
                <w:rFonts w:hint="eastAsia" w:ascii="仿宋_GB2312" w:eastAsia="仿宋_GB2312"/>
                <w:sz w:val="24"/>
                <w:szCs w:val="24"/>
                <w:lang w:eastAsia="zh-CN"/>
              </w:rPr>
              <w:t>得</w:t>
            </w:r>
            <w:r>
              <w:rPr>
                <w:rFonts w:hint="eastAsia" w:ascii="仿宋_GB2312" w:eastAsia="仿宋_GB2312"/>
                <w:sz w:val="24"/>
                <w:szCs w:val="24"/>
              </w:rPr>
              <w:t>4分；40-50%，</w:t>
            </w:r>
            <w:r>
              <w:rPr>
                <w:rFonts w:hint="eastAsia" w:ascii="仿宋_GB2312" w:eastAsia="仿宋_GB2312"/>
                <w:sz w:val="24"/>
                <w:szCs w:val="24"/>
                <w:lang w:eastAsia="zh-CN"/>
              </w:rPr>
              <w:t>得</w:t>
            </w:r>
            <w:r>
              <w:rPr>
                <w:rFonts w:hint="eastAsia" w:ascii="仿宋_GB2312" w:eastAsia="仿宋_GB2312"/>
                <w:sz w:val="24"/>
                <w:szCs w:val="24"/>
              </w:rPr>
              <w:t>2分；40%以下不得分。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查看现场活动记录，走访3-5名自我健康管理小组的成员（患者或家属），了解对参加活动的体会、需求和存在的问题。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883" w:type="dxa"/>
            <w:vMerge w:val="restart"/>
            <w:vAlign w:val="center"/>
          </w:tcPr>
          <w:p>
            <w:pPr>
              <w:jc w:val="center"/>
              <w:rPr>
                <w:rFonts w:ascii="仿宋_GB2312" w:eastAsia="仿宋_GB2312"/>
                <w:sz w:val="28"/>
                <w:szCs w:val="28"/>
              </w:rPr>
            </w:pPr>
            <w:r>
              <w:rPr>
                <w:rFonts w:hint="eastAsia" w:ascii="仿宋_GB2312" w:eastAsia="仿宋_GB2312"/>
                <w:sz w:val="28"/>
                <w:szCs w:val="28"/>
              </w:rPr>
              <w:t>五、慢性病全程管理</w:t>
            </w:r>
          </w:p>
          <w:p>
            <w:pPr>
              <w:jc w:val="center"/>
              <w:rPr>
                <w:rFonts w:ascii="仿宋_GB2312" w:eastAsia="仿宋_GB2312"/>
                <w:sz w:val="28"/>
                <w:szCs w:val="28"/>
              </w:rPr>
            </w:pPr>
            <w:r>
              <w:rPr>
                <w:rFonts w:hint="eastAsia" w:ascii="仿宋_GB2312" w:eastAsia="仿宋_GB2312"/>
                <w:sz w:val="28"/>
                <w:szCs w:val="28"/>
              </w:rPr>
              <w:t>（87分）</w:t>
            </w:r>
          </w:p>
        </w:tc>
        <w:tc>
          <w:tcPr>
            <w:tcW w:w="1975" w:type="dxa"/>
            <w:vMerge w:val="restart"/>
            <w:vAlign w:val="center"/>
          </w:tcPr>
          <w:p>
            <w:pPr>
              <w:jc w:val="left"/>
              <w:rPr>
                <w:rFonts w:ascii="仿宋_GB2312" w:eastAsia="仿宋_GB2312"/>
                <w:sz w:val="28"/>
                <w:szCs w:val="28"/>
              </w:rPr>
            </w:pPr>
            <w:r>
              <w:rPr>
                <w:rFonts w:hint="eastAsia" w:ascii="仿宋_GB2312" w:eastAsia="仿宋_GB2312"/>
                <w:sz w:val="28"/>
                <w:szCs w:val="28"/>
              </w:rPr>
              <w:t>（一）规范健康体检，开展高危人群筛查与干预，加强癌症、心脑血管疾病等重大慢性病的早期发现与管理。</w:t>
            </w:r>
          </w:p>
          <w:p>
            <w:pPr>
              <w:jc w:val="left"/>
              <w:rPr>
                <w:rFonts w:ascii="仿宋_GB2312" w:eastAsia="仿宋_GB2312"/>
                <w:sz w:val="28"/>
                <w:szCs w:val="28"/>
              </w:rPr>
            </w:pPr>
            <w:r>
              <w:rPr>
                <w:rFonts w:hint="eastAsia" w:ascii="仿宋_GB2312" w:eastAsia="仿宋_GB2312"/>
                <w:sz w:val="28"/>
                <w:szCs w:val="28"/>
              </w:rPr>
              <w:t>（20分）</w:t>
            </w: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1.开展学生、老年人等重点人群和职工定期健康体检和健康指导。</w:t>
            </w:r>
          </w:p>
          <w:p>
            <w:pPr>
              <w:rPr>
                <w:rFonts w:ascii="仿宋_GB2312" w:eastAsia="仿宋_GB2312" w:cs="宋体"/>
                <w:kern w:val="0"/>
                <w:sz w:val="24"/>
                <w:szCs w:val="24"/>
              </w:rPr>
            </w:pPr>
          </w:p>
        </w:tc>
        <w:tc>
          <w:tcPr>
            <w:tcW w:w="6197" w:type="dxa"/>
            <w:vAlign w:val="top"/>
          </w:tcPr>
          <w:p>
            <w:pPr>
              <w:rPr>
                <w:rFonts w:ascii="仿宋_GB2312" w:eastAsia="仿宋_GB2312"/>
                <w:sz w:val="24"/>
                <w:szCs w:val="24"/>
              </w:rPr>
            </w:pPr>
            <w:r>
              <w:rPr>
                <w:rFonts w:hint="eastAsia" w:ascii="仿宋_GB2312" w:eastAsia="仿宋_GB2312"/>
                <w:sz w:val="24"/>
                <w:szCs w:val="24"/>
              </w:rPr>
              <w:t>(1)学生健康体检率≥90%，</w:t>
            </w:r>
            <w:r>
              <w:rPr>
                <w:rFonts w:hint="eastAsia" w:ascii="仿宋_GB2312" w:eastAsia="仿宋_GB2312"/>
                <w:sz w:val="24"/>
                <w:szCs w:val="24"/>
                <w:lang w:eastAsia="zh-CN"/>
              </w:rPr>
              <w:t>得</w:t>
            </w:r>
            <w:r>
              <w:rPr>
                <w:rFonts w:hint="eastAsia" w:ascii="仿宋_GB2312" w:eastAsia="仿宋_GB2312"/>
                <w:sz w:val="24"/>
                <w:szCs w:val="24"/>
              </w:rPr>
              <w:t>2分；80-90%，</w:t>
            </w:r>
            <w:r>
              <w:rPr>
                <w:rFonts w:hint="eastAsia" w:ascii="仿宋_GB2312" w:eastAsia="仿宋_GB2312"/>
                <w:sz w:val="24"/>
                <w:szCs w:val="24"/>
                <w:lang w:eastAsia="zh-CN"/>
              </w:rPr>
              <w:t>得</w:t>
            </w:r>
            <w:r>
              <w:rPr>
                <w:rFonts w:hint="eastAsia" w:ascii="仿宋_GB2312" w:eastAsia="仿宋_GB2312"/>
                <w:sz w:val="24"/>
                <w:szCs w:val="24"/>
              </w:rPr>
              <w:t>1分；80%以下不得分。</w:t>
            </w:r>
            <w:r>
              <w:rPr>
                <w:rFonts w:hint="eastAsia" w:ascii="仿宋_GB2312" w:eastAsia="仿宋_GB2312"/>
                <w:sz w:val="24"/>
                <w:szCs w:val="24"/>
              </w:rPr>
              <w:br w:type="textWrapping"/>
            </w:r>
            <w:r>
              <w:rPr>
                <w:rFonts w:hint="eastAsia" w:ascii="仿宋_GB2312" w:eastAsia="仿宋_GB2312"/>
                <w:sz w:val="24"/>
                <w:szCs w:val="24"/>
              </w:rPr>
              <w:t>(2)65岁及以上老年人健康体检率≥90%，</w:t>
            </w:r>
            <w:r>
              <w:rPr>
                <w:rFonts w:hint="eastAsia" w:ascii="仿宋_GB2312" w:eastAsia="仿宋_GB2312"/>
                <w:sz w:val="24"/>
                <w:szCs w:val="24"/>
                <w:lang w:eastAsia="zh-CN"/>
              </w:rPr>
              <w:t>得</w:t>
            </w:r>
            <w:r>
              <w:rPr>
                <w:rFonts w:hint="eastAsia" w:ascii="仿宋_GB2312" w:eastAsia="仿宋_GB2312"/>
                <w:sz w:val="24"/>
                <w:szCs w:val="24"/>
              </w:rPr>
              <w:t>2分；80-90%，</w:t>
            </w:r>
            <w:r>
              <w:rPr>
                <w:rFonts w:hint="eastAsia" w:ascii="仿宋_GB2312" w:eastAsia="仿宋_GB2312"/>
                <w:sz w:val="24"/>
                <w:szCs w:val="24"/>
                <w:lang w:eastAsia="zh-CN"/>
              </w:rPr>
              <w:t>得</w:t>
            </w:r>
            <w:r>
              <w:rPr>
                <w:rFonts w:hint="eastAsia" w:ascii="仿宋_GB2312" w:eastAsia="仿宋_GB2312"/>
                <w:sz w:val="24"/>
                <w:szCs w:val="24"/>
              </w:rPr>
              <w:t>1分；80%以下不得分。</w:t>
            </w:r>
          </w:p>
          <w:p>
            <w:pPr>
              <w:rPr>
                <w:rFonts w:ascii="仿宋_GB2312" w:eastAsia="仿宋_GB2312"/>
                <w:sz w:val="24"/>
                <w:szCs w:val="24"/>
              </w:rPr>
            </w:pPr>
            <w:r>
              <w:rPr>
                <w:rFonts w:hint="eastAsia" w:ascii="仿宋_GB2312" w:eastAsia="仿宋_GB2312"/>
                <w:sz w:val="24"/>
                <w:szCs w:val="24"/>
              </w:rPr>
              <w:t>（3）每2年1次体检并开展健康指导的机关事业单位和员工数超过50人的企业的覆盖率≥50%，</w:t>
            </w:r>
            <w:r>
              <w:rPr>
                <w:rFonts w:hint="eastAsia" w:ascii="仿宋_GB2312" w:eastAsia="仿宋_GB2312"/>
                <w:sz w:val="24"/>
                <w:szCs w:val="24"/>
                <w:lang w:eastAsia="zh-CN"/>
              </w:rPr>
              <w:t>得</w:t>
            </w:r>
            <w:r>
              <w:rPr>
                <w:rFonts w:hint="eastAsia" w:ascii="仿宋_GB2312" w:eastAsia="仿宋_GB2312"/>
                <w:sz w:val="24"/>
                <w:szCs w:val="24"/>
              </w:rPr>
              <w:t>3分；40-50%，</w:t>
            </w:r>
            <w:r>
              <w:rPr>
                <w:rFonts w:hint="eastAsia" w:ascii="仿宋_GB2312" w:eastAsia="仿宋_GB2312"/>
                <w:sz w:val="24"/>
                <w:szCs w:val="24"/>
                <w:lang w:eastAsia="zh-CN"/>
              </w:rPr>
              <w:t>得</w:t>
            </w:r>
            <w:r>
              <w:rPr>
                <w:rFonts w:hint="eastAsia" w:ascii="仿宋_GB2312" w:eastAsia="仿宋_GB2312"/>
                <w:sz w:val="24"/>
                <w:szCs w:val="24"/>
              </w:rPr>
              <w:t>2分；40%以下不得分。</w:t>
            </w:r>
          </w:p>
        </w:tc>
        <w:tc>
          <w:tcPr>
            <w:tcW w:w="956" w:type="dxa"/>
            <w:vAlign w:val="center"/>
          </w:tcPr>
          <w:p>
            <w:pPr>
              <w:jc w:val="center"/>
              <w:rPr>
                <w:rFonts w:ascii="仿宋_GB2312" w:eastAsia="仿宋_GB2312" w:cs="宋体"/>
                <w:kern w:val="0"/>
                <w:sz w:val="28"/>
                <w:szCs w:val="28"/>
              </w:rPr>
            </w:pPr>
            <w:r>
              <w:rPr>
                <w:rFonts w:hint="eastAsia" w:ascii="仿宋_GB2312" w:eastAsia="仿宋_GB2312" w:cs="宋体"/>
                <w:kern w:val="0"/>
                <w:sz w:val="28"/>
                <w:szCs w:val="28"/>
              </w:rPr>
              <w:t>7</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查阅教育部门统计数据和基本公共卫生服务项目统计数据等。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2.应用推广成熟的适宜技术，早期发现诊治患者，及时纳入基本公共卫生服务管理。</w:t>
            </w:r>
          </w:p>
          <w:p>
            <w:pPr>
              <w:widowControl/>
              <w:rPr>
                <w:rFonts w:ascii="仿宋_GB2312" w:eastAsia="仿宋_GB2312" w:cs="宋体"/>
                <w:kern w:val="0"/>
                <w:sz w:val="24"/>
                <w:szCs w:val="24"/>
              </w:rPr>
            </w:pPr>
          </w:p>
        </w:tc>
        <w:tc>
          <w:tcPr>
            <w:tcW w:w="6197" w:type="dxa"/>
            <w:vAlign w:val="top"/>
          </w:tcPr>
          <w:p>
            <w:pPr>
              <w:rPr>
                <w:rFonts w:ascii="仿宋_GB2312" w:eastAsia="仿宋_GB2312"/>
                <w:sz w:val="24"/>
                <w:szCs w:val="24"/>
              </w:rPr>
            </w:pPr>
            <w:r>
              <w:rPr>
                <w:rFonts w:hint="eastAsia" w:ascii="仿宋_GB2312" w:eastAsia="仿宋_GB2312"/>
                <w:sz w:val="24"/>
                <w:szCs w:val="24"/>
              </w:rPr>
              <w:t>（1）医疗机构首诊测血压率≥90%，</w:t>
            </w:r>
            <w:r>
              <w:rPr>
                <w:rFonts w:hint="eastAsia" w:ascii="仿宋_GB2312" w:eastAsia="仿宋_GB2312"/>
                <w:sz w:val="24"/>
                <w:szCs w:val="24"/>
                <w:lang w:eastAsia="zh-CN"/>
              </w:rPr>
              <w:t>得</w:t>
            </w:r>
            <w:r>
              <w:rPr>
                <w:rFonts w:hint="eastAsia" w:ascii="仿宋_GB2312" w:eastAsia="仿宋_GB2312"/>
                <w:sz w:val="24"/>
                <w:szCs w:val="24"/>
              </w:rPr>
              <w:t>2分；低于90%不得分。</w:t>
            </w:r>
          </w:p>
          <w:p>
            <w:pPr>
              <w:rPr>
                <w:rFonts w:ascii="仿宋_GB2312" w:eastAsia="仿宋_GB2312"/>
                <w:sz w:val="24"/>
                <w:szCs w:val="24"/>
              </w:rPr>
            </w:pPr>
            <w:r>
              <w:rPr>
                <w:rFonts w:hint="eastAsia" w:ascii="仿宋_GB2312" w:eastAsia="仿宋_GB2312"/>
                <w:sz w:val="24"/>
                <w:szCs w:val="24"/>
              </w:rPr>
              <w:t>（2）开展心脑血管疾病、重点癌症、糖尿病、慢性阻塞性肺病等重大慢性病的筛查和早期诊断，每1项1分，满分4分。</w:t>
            </w:r>
          </w:p>
          <w:p>
            <w:pPr>
              <w:rPr>
                <w:rFonts w:ascii="仿宋_GB2312" w:eastAsia="仿宋_GB2312"/>
                <w:sz w:val="24"/>
                <w:szCs w:val="24"/>
              </w:rPr>
            </w:pPr>
            <w:r>
              <w:rPr>
                <w:rFonts w:hint="eastAsia" w:ascii="仿宋_GB2312" w:eastAsia="仿宋_GB2312"/>
                <w:sz w:val="24"/>
                <w:szCs w:val="24"/>
              </w:rPr>
              <w:t>（3）具备血糖、血脂、简易肺功能测定和大便隐血检测等4种技术并提供服务的社区卫生服务中心和乡镇卫生院的覆盖率≥50%，</w:t>
            </w:r>
            <w:r>
              <w:rPr>
                <w:rFonts w:hint="eastAsia" w:ascii="仿宋_GB2312" w:eastAsia="仿宋_GB2312"/>
                <w:sz w:val="24"/>
                <w:szCs w:val="24"/>
                <w:lang w:eastAsia="zh-CN"/>
              </w:rPr>
              <w:t>得</w:t>
            </w:r>
            <w:r>
              <w:rPr>
                <w:rFonts w:hint="eastAsia" w:ascii="仿宋_GB2312" w:eastAsia="仿宋_GB2312"/>
                <w:sz w:val="24"/>
                <w:szCs w:val="24"/>
              </w:rPr>
              <w:t>3分；40-50%，</w:t>
            </w:r>
            <w:r>
              <w:rPr>
                <w:rFonts w:hint="eastAsia" w:ascii="仿宋_GB2312" w:eastAsia="仿宋_GB2312"/>
                <w:sz w:val="24"/>
                <w:szCs w:val="24"/>
                <w:lang w:eastAsia="zh-CN"/>
              </w:rPr>
              <w:t>得</w:t>
            </w:r>
            <w:r>
              <w:rPr>
                <w:rFonts w:hint="eastAsia" w:ascii="仿宋_GB2312" w:eastAsia="仿宋_GB2312"/>
                <w:sz w:val="24"/>
                <w:szCs w:val="24"/>
              </w:rPr>
              <w:t>1分；低于40%不得分。</w:t>
            </w:r>
          </w:p>
          <w:p>
            <w:pPr>
              <w:rPr>
                <w:rFonts w:ascii="仿宋_GB2312" w:eastAsia="仿宋_GB2312"/>
                <w:sz w:val="24"/>
                <w:szCs w:val="24"/>
              </w:rPr>
            </w:pPr>
            <w:r>
              <w:rPr>
                <w:rFonts w:ascii="仿宋_GB2312" w:eastAsia="仿宋_GB2312"/>
                <w:sz w:val="24"/>
                <w:szCs w:val="24"/>
              </w:rPr>
              <w:t xml:space="preserve"> </w:t>
            </w:r>
            <w:r>
              <w:rPr>
                <w:rFonts w:hint="eastAsia" w:ascii="仿宋_GB2312" w:eastAsia="仿宋_GB2312"/>
                <w:sz w:val="24"/>
                <w:szCs w:val="24"/>
              </w:rPr>
              <w:t>（4）提高加强个人健康档案与健康体检信息的利用，发现高危人群登记率10</w:t>
            </w:r>
            <w:r>
              <w:rPr>
                <w:rFonts w:ascii="仿宋_GB2312" w:eastAsia="仿宋_GB2312"/>
                <w:sz w:val="24"/>
                <w:szCs w:val="24"/>
              </w:rPr>
              <w:t>0%</w:t>
            </w:r>
            <w:r>
              <w:rPr>
                <w:rFonts w:hint="eastAsia" w:ascii="仿宋_GB2312" w:eastAsia="仿宋_GB2312"/>
                <w:sz w:val="24"/>
                <w:szCs w:val="24"/>
              </w:rPr>
              <w:t>，</w:t>
            </w:r>
            <w:r>
              <w:rPr>
                <w:rFonts w:hint="eastAsia" w:ascii="仿宋_GB2312" w:eastAsia="仿宋_GB2312"/>
                <w:sz w:val="24"/>
                <w:szCs w:val="24"/>
                <w:lang w:eastAsia="zh-CN"/>
              </w:rPr>
              <w:t>得</w:t>
            </w:r>
            <w:r>
              <w:rPr>
                <w:rFonts w:ascii="仿宋_GB2312" w:eastAsia="仿宋_GB2312"/>
                <w:sz w:val="24"/>
                <w:szCs w:val="24"/>
              </w:rPr>
              <w:t>2</w:t>
            </w:r>
            <w:r>
              <w:rPr>
                <w:rFonts w:hint="eastAsia" w:ascii="仿宋_GB2312" w:eastAsia="仿宋_GB2312"/>
                <w:sz w:val="24"/>
                <w:szCs w:val="24"/>
              </w:rPr>
              <w:t>分；高危人群纳入健康管理率≥</w:t>
            </w:r>
            <w:r>
              <w:rPr>
                <w:rFonts w:ascii="仿宋_GB2312" w:eastAsia="仿宋_GB2312"/>
                <w:sz w:val="24"/>
                <w:szCs w:val="24"/>
              </w:rPr>
              <w:t>30%</w:t>
            </w:r>
            <w:r>
              <w:rPr>
                <w:rFonts w:hint="eastAsia" w:ascii="仿宋_GB2312" w:eastAsia="仿宋_GB2312"/>
                <w:sz w:val="24"/>
                <w:szCs w:val="24"/>
              </w:rPr>
              <w:t>，</w:t>
            </w:r>
            <w:r>
              <w:rPr>
                <w:rFonts w:hint="eastAsia" w:ascii="仿宋_GB2312" w:eastAsia="仿宋_GB2312"/>
                <w:sz w:val="24"/>
                <w:szCs w:val="24"/>
                <w:lang w:eastAsia="zh-CN"/>
              </w:rPr>
              <w:t>得</w:t>
            </w:r>
            <w:r>
              <w:rPr>
                <w:rFonts w:hint="eastAsia" w:ascii="仿宋_GB2312" w:eastAsia="仿宋_GB2312"/>
                <w:sz w:val="24"/>
                <w:szCs w:val="24"/>
              </w:rPr>
              <w:t>2分。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13</w:t>
            </w:r>
          </w:p>
        </w:tc>
        <w:tc>
          <w:tcPr>
            <w:tcW w:w="2289" w:type="dxa"/>
            <w:vAlign w:val="top"/>
          </w:tcPr>
          <w:p>
            <w:pPr>
              <w:widowControl/>
              <w:rPr>
                <w:rFonts w:ascii="仿宋_GB2312" w:eastAsia="仿宋_GB2312" w:cs="宋体"/>
                <w:kern w:val="0"/>
                <w:sz w:val="24"/>
                <w:szCs w:val="24"/>
              </w:rPr>
            </w:pPr>
          </w:p>
          <w:p>
            <w:pPr>
              <w:widowControl/>
              <w:rPr>
                <w:rFonts w:ascii="仿宋_GB2312" w:eastAsia="仿宋_GB2312" w:cs="宋体"/>
                <w:kern w:val="0"/>
                <w:sz w:val="24"/>
                <w:szCs w:val="24"/>
              </w:rPr>
            </w:pPr>
            <w:r>
              <w:rPr>
                <w:rFonts w:hint="eastAsia" w:ascii="仿宋_GB2312" w:eastAsia="仿宋_GB2312" w:cs="宋体"/>
                <w:kern w:val="0"/>
                <w:sz w:val="24"/>
                <w:szCs w:val="24"/>
              </w:rPr>
              <w:t>查阅资料，现场评估，抽样调查医疗机构资料、信息系统。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restart"/>
            <w:vAlign w:val="center"/>
          </w:tcPr>
          <w:p>
            <w:pPr>
              <w:jc w:val="left"/>
              <w:rPr>
                <w:rFonts w:ascii="仿宋_GB2312" w:eastAsia="仿宋_GB2312"/>
                <w:sz w:val="28"/>
                <w:szCs w:val="28"/>
              </w:rPr>
            </w:pPr>
            <w:r>
              <w:rPr>
                <w:rFonts w:hint="eastAsia" w:ascii="仿宋_GB2312" w:eastAsia="仿宋_GB2312"/>
                <w:sz w:val="28"/>
                <w:szCs w:val="28"/>
              </w:rPr>
              <w:t>（二）建立分级诊疗制度，推进家庭医生签约服务，开展高血压、糖尿病等重点慢性病规范化管理。</w:t>
            </w:r>
          </w:p>
          <w:p>
            <w:pPr>
              <w:jc w:val="left"/>
              <w:rPr>
                <w:rFonts w:ascii="仿宋_GB2312" w:eastAsia="仿宋_GB2312"/>
                <w:sz w:val="28"/>
                <w:szCs w:val="28"/>
              </w:rPr>
            </w:pPr>
            <w:r>
              <w:rPr>
                <w:rFonts w:hint="eastAsia" w:ascii="仿宋_GB2312" w:eastAsia="仿宋_GB2312"/>
                <w:sz w:val="28"/>
                <w:szCs w:val="28"/>
              </w:rPr>
              <w:t>（25分）</w:t>
            </w: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1.开展基层首诊、双向转诊、急慢分治、上下联动的慢性病分级诊疗服务。</w:t>
            </w:r>
          </w:p>
        </w:tc>
        <w:tc>
          <w:tcPr>
            <w:tcW w:w="6197" w:type="dxa"/>
            <w:vAlign w:val="top"/>
          </w:tcPr>
          <w:p>
            <w:pPr>
              <w:rPr>
                <w:rFonts w:ascii="仿宋_GB2312" w:eastAsia="仿宋_GB2312"/>
                <w:sz w:val="24"/>
                <w:szCs w:val="24"/>
              </w:rPr>
            </w:pPr>
            <w:r>
              <w:rPr>
                <w:rFonts w:hint="eastAsia" w:ascii="仿宋_GB2312" w:eastAsia="仿宋_GB2312"/>
                <w:sz w:val="24"/>
                <w:szCs w:val="24"/>
              </w:rPr>
              <w:t>（1）建立分级诊疗制度，</w:t>
            </w:r>
            <w:r>
              <w:rPr>
                <w:rFonts w:hint="eastAsia" w:ascii="仿宋_GB2312" w:eastAsia="仿宋_GB2312"/>
                <w:sz w:val="24"/>
                <w:szCs w:val="24"/>
                <w:lang w:eastAsia="zh-CN"/>
              </w:rPr>
              <w:t>得</w:t>
            </w:r>
            <w:r>
              <w:rPr>
                <w:rFonts w:hint="eastAsia" w:ascii="仿宋_GB2312" w:eastAsia="仿宋_GB2312"/>
                <w:sz w:val="24"/>
                <w:szCs w:val="24"/>
              </w:rPr>
              <w:t>2分。</w:t>
            </w:r>
          </w:p>
          <w:p>
            <w:pPr>
              <w:rPr>
                <w:rFonts w:ascii="仿宋_GB2312" w:eastAsia="仿宋_GB2312"/>
                <w:sz w:val="24"/>
                <w:szCs w:val="24"/>
              </w:rPr>
            </w:pPr>
            <w:r>
              <w:rPr>
                <w:rFonts w:hint="eastAsia" w:ascii="仿宋_GB2312" w:eastAsia="仿宋_GB2312"/>
                <w:sz w:val="24"/>
                <w:szCs w:val="24"/>
              </w:rPr>
              <w:t>（2）</w:t>
            </w:r>
            <w:r>
              <w:rPr>
                <w:rFonts w:ascii="仿宋_GB2312" w:eastAsia="仿宋_GB2312"/>
                <w:sz w:val="24"/>
                <w:szCs w:val="24"/>
              </w:rPr>
              <w:t>落实并</w:t>
            </w:r>
            <w:r>
              <w:rPr>
                <w:rFonts w:hint="eastAsia" w:ascii="仿宋_GB2312" w:eastAsia="仿宋_GB2312"/>
                <w:sz w:val="24"/>
                <w:szCs w:val="24"/>
              </w:rPr>
              <w:t>开展高血压与糖尿病基层首诊、双向转诊、急慢分治、上下联动的分级诊疗服务，</w:t>
            </w:r>
            <w:r>
              <w:rPr>
                <w:rFonts w:hint="eastAsia" w:ascii="仿宋_GB2312" w:eastAsia="仿宋_GB2312"/>
                <w:sz w:val="24"/>
                <w:szCs w:val="24"/>
                <w:lang w:eastAsia="zh-CN"/>
              </w:rPr>
              <w:t>得</w:t>
            </w:r>
            <w:r>
              <w:rPr>
                <w:rFonts w:hint="eastAsia" w:ascii="仿宋_GB2312" w:eastAsia="仿宋_GB2312"/>
                <w:sz w:val="24"/>
                <w:szCs w:val="24"/>
              </w:rPr>
              <w:t>3分。</w:t>
            </w:r>
          </w:p>
          <w:p>
            <w:pPr>
              <w:rPr>
                <w:rFonts w:ascii="仿宋_GB2312" w:eastAsia="仿宋_GB2312"/>
                <w:sz w:val="24"/>
                <w:szCs w:val="24"/>
              </w:rPr>
            </w:pPr>
            <w:r>
              <w:rPr>
                <w:rFonts w:hint="eastAsia" w:ascii="仿宋_GB2312" w:eastAsia="仿宋_GB2312"/>
                <w:sz w:val="24"/>
                <w:szCs w:val="24"/>
              </w:rPr>
              <w:t>（3）依托信息平台实现分级诊疗，</w:t>
            </w:r>
            <w:r>
              <w:rPr>
                <w:rFonts w:hint="eastAsia" w:ascii="仿宋_GB2312" w:eastAsia="仿宋_GB2312"/>
                <w:sz w:val="24"/>
                <w:szCs w:val="24"/>
                <w:lang w:eastAsia="zh-CN"/>
              </w:rPr>
              <w:t>得</w:t>
            </w:r>
            <w:r>
              <w:rPr>
                <w:rFonts w:hint="eastAsia" w:ascii="仿宋_GB2312" w:eastAsia="仿宋_GB2312"/>
                <w:sz w:val="24"/>
                <w:szCs w:val="24"/>
              </w:rPr>
              <w:t>2分。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7</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查阅相关文件、实施方案制度等，查看纸质或电子健康档案。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2.推进家庭医生签约服务，签约团队负责提供约定的基本医疗、公共卫生和健康管理服务。</w:t>
            </w:r>
          </w:p>
        </w:tc>
        <w:tc>
          <w:tcPr>
            <w:tcW w:w="6197" w:type="dxa"/>
            <w:vAlign w:val="top"/>
          </w:tcPr>
          <w:p>
            <w:pPr>
              <w:rPr>
                <w:rFonts w:ascii="仿宋_GB2312" w:eastAsia="仿宋_GB2312"/>
                <w:sz w:val="24"/>
                <w:szCs w:val="24"/>
              </w:rPr>
            </w:pPr>
            <w:r>
              <w:rPr>
                <w:rFonts w:hint="eastAsia" w:ascii="仿宋_GB2312" w:eastAsia="仿宋_GB2312"/>
                <w:sz w:val="24"/>
                <w:szCs w:val="24"/>
              </w:rPr>
              <w:t>家庭医生签约服务覆盖率≥本省平均水平30%，</w:t>
            </w:r>
            <w:r>
              <w:rPr>
                <w:rFonts w:hint="eastAsia" w:ascii="仿宋_GB2312" w:eastAsia="仿宋_GB2312"/>
                <w:sz w:val="24"/>
                <w:szCs w:val="24"/>
                <w:lang w:eastAsia="zh-CN"/>
              </w:rPr>
              <w:t>得</w:t>
            </w:r>
            <w:r>
              <w:rPr>
                <w:rFonts w:hint="eastAsia" w:ascii="仿宋_GB2312" w:eastAsia="仿宋_GB2312"/>
                <w:sz w:val="24"/>
                <w:szCs w:val="24"/>
              </w:rPr>
              <w:t>6分； 25-30%，</w:t>
            </w:r>
            <w:r>
              <w:rPr>
                <w:rFonts w:hint="eastAsia" w:ascii="仿宋_GB2312" w:eastAsia="仿宋_GB2312"/>
                <w:sz w:val="24"/>
                <w:szCs w:val="24"/>
                <w:lang w:eastAsia="zh-CN"/>
              </w:rPr>
              <w:t>得</w:t>
            </w:r>
            <w:r>
              <w:rPr>
                <w:rFonts w:hint="eastAsia" w:ascii="仿宋_GB2312" w:eastAsia="仿宋_GB2312"/>
                <w:sz w:val="24"/>
                <w:szCs w:val="24"/>
              </w:rPr>
              <w:t>3分；15-25%</w:t>
            </w:r>
            <w:r>
              <w:rPr>
                <w:rFonts w:ascii="仿宋_GB2312" w:eastAsia="仿宋_GB2312"/>
                <w:sz w:val="24"/>
                <w:szCs w:val="24"/>
              </w:rPr>
              <w:t>，</w:t>
            </w:r>
            <w:r>
              <w:rPr>
                <w:rFonts w:hint="eastAsia" w:ascii="仿宋_GB2312" w:eastAsia="仿宋_GB2312"/>
                <w:sz w:val="24"/>
                <w:szCs w:val="24"/>
                <w:lang w:eastAsia="zh-CN"/>
              </w:rPr>
              <w:t>得</w:t>
            </w:r>
            <w:r>
              <w:rPr>
                <w:rFonts w:ascii="仿宋_GB2312" w:eastAsia="仿宋_GB2312"/>
                <w:sz w:val="24"/>
                <w:szCs w:val="24"/>
              </w:rPr>
              <w:t>１分</w:t>
            </w:r>
            <w:r>
              <w:rPr>
                <w:rFonts w:hint="eastAsia" w:ascii="仿宋_GB2312" w:eastAsia="仿宋_GB2312"/>
                <w:sz w:val="24"/>
                <w:szCs w:val="24"/>
              </w:rPr>
              <w:t>；低于15%不得分。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6</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查阅省级统计数据。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3.提高18岁以上人群高血压、糖尿病知晓率。</w:t>
            </w:r>
          </w:p>
        </w:tc>
        <w:tc>
          <w:tcPr>
            <w:tcW w:w="6197" w:type="dxa"/>
            <w:vAlign w:val="top"/>
          </w:tcPr>
          <w:p>
            <w:pPr>
              <w:rPr>
                <w:rFonts w:ascii="仿宋_GB2312" w:eastAsia="仿宋_GB2312"/>
                <w:sz w:val="24"/>
                <w:szCs w:val="24"/>
              </w:rPr>
            </w:pPr>
            <w:r>
              <w:rPr>
                <w:rFonts w:hint="eastAsia" w:ascii="仿宋_GB2312" w:eastAsia="仿宋_GB2312"/>
                <w:sz w:val="24"/>
                <w:szCs w:val="24"/>
              </w:rPr>
              <w:t>（1）18岁以上高血压知晓率≥60%，</w:t>
            </w:r>
            <w:r>
              <w:rPr>
                <w:rFonts w:hint="eastAsia" w:ascii="仿宋_GB2312" w:eastAsia="仿宋_GB2312"/>
                <w:sz w:val="24"/>
                <w:szCs w:val="24"/>
                <w:lang w:eastAsia="zh-CN"/>
              </w:rPr>
              <w:t>得</w:t>
            </w:r>
            <w:r>
              <w:rPr>
                <w:rFonts w:hint="eastAsia" w:ascii="仿宋_GB2312" w:eastAsia="仿宋_GB2312"/>
                <w:sz w:val="24"/>
                <w:szCs w:val="24"/>
              </w:rPr>
              <w:t>2分；40-60%</w:t>
            </w:r>
            <w:r>
              <w:rPr>
                <w:rFonts w:ascii="仿宋_GB2312" w:eastAsia="仿宋_GB2312"/>
                <w:sz w:val="24"/>
                <w:szCs w:val="24"/>
              </w:rPr>
              <w:t>，</w:t>
            </w:r>
            <w:r>
              <w:rPr>
                <w:rFonts w:hint="eastAsia" w:ascii="仿宋_GB2312" w:eastAsia="仿宋_GB2312"/>
                <w:sz w:val="24"/>
                <w:szCs w:val="24"/>
                <w:lang w:eastAsia="zh-CN"/>
              </w:rPr>
              <w:t>得</w:t>
            </w:r>
            <w:r>
              <w:rPr>
                <w:rFonts w:hint="eastAsia" w:ascii="仿宋_GB2312" w:eastAsia="仿宋_GB2312"/>
                <w:sz w:val="24"/>
                <w:szCs w:val="24"/>
              </w:rPr>
              <w:t>1</w:t>
            </w:r>
            <w:r>
              <w:rPr>
                <w:rFonts w:ascii="仿宋_GB2312" w:eastAsia="仿宋_GB2312"/>
                <w:sz w:val="24"/>
                <w:szCs w:val="24"/>
              </w:rPr>
              <w:t>分</w:t>
            </w:r>
            <w:r>
              <w:rPr>
                <w:rFonts w:hint="eastAsia" w:ascii="仿宋_GB2312" w:eastAsia="仿宋_GB2312"/>
                <w:sz w:val="24"/>
                <w:szCs w:val="24"/>
              </w:rPr>
              <w:t>；低于40%不得分。</w:t>
            </w:r>
            <w:r>
              <w:rPr>
                <w:rFonts w:hint="eastAsia" w:ascii="仿宋_GB2312" w:eastAsia="仿宋_GB2312"/>
                <w:sz w:val="24"/>
                <w:szCs w:val="24"/>
              </w:rPr>
              <w:br w:type="textWrapping"/>
            </w:r>
            <w:r>
              <w:rPr>
                <w:rFonts w:hint="eastAsia" w:ascii="仿宋_GB2312" w:eastAsia="仿宋_GB2312"/>
                <w:sz w:val="24"/>
                <w:szCs w:val="24"/>
              </w:rPr>
              <w:t>（2）18岁以上糖尿病知晓率≥50%，</w:t>
            </w:r>
            <w:r>
              <w:rPr>
                <w:rFonts w:hint="eastAsia" w:ascii="仿宋_GB2312" w:eastAsia="仿宋_GB2312"/>
                <w:sz w:val="24"/>
                <w:szCs w:val="24"/>
                <w:lang w:eastAsia="zh-CN"/>
              </w:rPr>
              <w:t>得</w:t>
            </w:r>
            <w:r>
              <w:rPr>
                <w:rFonts w:hint="eastAsia" w:ascii="仿宋_GB2312" w:eastAsia="仿宋_GB2312"/>
                <w:sz w:val="24"/>
                <w:szCs w:val="24"/>
              </w:rPr>
              <w:t>2分；30-50</w:t>
            </w:r>
            <w:r>
              <w:rPr>
                <w:rFonts w:ascii="仿宋_GB2312" w:eastAsia="仿宋_GB2312"/>
                <w:sz w:val="24"/>
                <w:szCs w:val="24"/>
              </w:rPr>
              <w:t>％，</w:t>
            </w:r>
            <w:r>
              <w:rPr>
                <w:rFonts w:hint="eastAsia" w:ascii="仿宋_GB2312" w:eastAsia="仿宋_GB2312"/>
                <w:sz w:val="24"/>
                <w:szCs w:val="24"/>
                <w:lang w:eastAsia="zh-CN"/>
              </w:rPr>
              <w:t>得</w:t>
            </w:r>
            <w:r>
              <w:rPr>
                <w:rFonts w:hint="eastAsia" w:ascii="仿宋_GB2312" w:eastAsia="仿宋_GB2312"/>
                <w:sz w:val="24"/>
                <w:szCs w:val="24"/>
              </w:rPr>
              <w:t>1</w:t>
            </w:r>
            <w:r>
              <w:rPr>
                <w:rFonts w:ascii="仿宋_GB2312" w:eastAsia="仿宋_GB2312"/>
                <w:sz w:val="24"/>
                <w:szCs w:val="24"/>
              </w:rPr>
              <w:t>分</w:t>
            </w:r>
            <w:r>
              <w:rPr>
                <w:rFonts w:hint="eastAsia" w:ascii="仿宋_GB2312" w:eastAsia="仿宋_GB2312"/>
                <w:sz w:val="24"/>
                <w:szCs w:val="24"/>
              </w:rPr>
              <w:t>；低于30%不得分。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w:t>
            </w:r>
          </w:p>
        </w:tc>
        <w:tc>
          <w:tcPr>
            <w:tcW w:w="2289" w:type="dxa"/>
            <w:vAlign w:val="top"/>
          </w:tcPr>
          <w:p>
            <w:pPr>
              <w:widowControl/>
              <w:spacing w:after="280"/>
              <w:rPr>
                <w:rFonts w:ascii="仿宋_GB2312" w:eastAsia="仿宋_GB2312" w:cs="宋体"/>
                <w:kern w:val="0"/>
                <w:sz w:val="24"/>
                <w:szCs w:val="24"/>
              </w:rPr>
            </w:pPr>
            <w:r>
              <w:rPr>
                <w:rFonts w:hint="eastAsia" w:ascii="仿宋_GB2312" w:eastAsia="仿宋_GB2312" w:cs="宋体"/>
                <w:kern w:val="0"/>
                <w:sz w:val="24"/>
                <w:szCs w:val="24"/>
              </w:rPr>
              <w:t>查阅监测报告数据、工作记录等，结合现场抽查完成。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4.提高35岁以上人群高血压、糖尿病患者管理率。</w:t>
            </w:r>
          </w:p>
        </w:tc>
        <w:tc>
          <w:tcPr>
            <w:tcW w:w="6197" w:type="dxa"/>
            <w:vAlign w:val="top"/>
          </w:tcPr>
          <w:p>
            <w:pPr>
              <w:rPr>
                <w:rFonts w:ascii="仿宋_GB2312" w:eastAsia="仿宋_GB2312"/>
                <w:sz w:val="24"/>
                <w:szCs w:val="24"/>
              </w:rPr>
            </w:pPr>
            <w:r>
              <w:rPr>
                <w:rFonts w:hint="eastAsia" w:ascii="仿宋_GB2312" w:eastAsia="仿宋_GB2312"/>
                <w:sz w:val="24"/>
                <w:szCs w:val="24"/>
              </w:rPr>
              <w:t>（1）35岁以上高血压患者管理率高于全省平均水平5%，</w:t>
            </w:r>
            <w:r>
              <w:rPr>
                <w:rFonts w:hint="eastAsia" w:ascii="仿宋_GB2312" w:eastAsia="仿宋_GB2312"/>
                <w:sz w:val="24"/>
                <w:szCs w:val="24"/>
                <w:lang w:eastAsia="zh-CN"/>
              </w:rPr>
              <w:t>得</w:t>
            </w:r>
            <w:r>
              <w:rPr>
                <w:rFonts w:hint="eastAsia" w:ascii="仿宋_GB2312" w:eastAsia="仿宋_GB2312"/>
                <w:sz w:val="24"/>
                <w:szCs w:val="24"/>
              </w:rPr>
              <w:t>2分；高于3-5%，</w:t>
            </w:r>
            <w:r>
              <w:rPr>
                <w:rFonts w:hint="eastAsia" w:ascii="仿宋_GB2312" w:eastAsia="仿宋_GB2312"/>
                <w:sz w:val="24"/>
                <w:szCs w:val="24"/>
                <w:lang w:eastAsia="zh-CN"/>
              </w:rPr>
              <w:t>得</w:t>
            </w:r>
            <w:r>
              <w:rPr>
                <w:rFonts w:hint="eastAsia" w:ascii="仿宋_GB2312" w:eastAsia="仿宋_GB2312"/>
                <w:sz w:val="24"/>
                <w:szCs w:val="24"/>
              </w:rPr>
              <w:t>1分；低于3%不得分。</w:t>
            </w:r>
          </w:p>
          <w:p>
            <w:pPr>
              <w:rPr>
                <w:rFonts w:ascii="仿宋_GB2312" w:eastAsia="仿宋_GB2312"/>
                <w:sz w:val="24"/>
                <w:szCs w:val="24"/>
              </w:rPr>
            </w:pPr>
            <w:r>
              <w:rPr>
                <w:rFonts w:hint="eastAsia" w:ascii="仿宋_GB2312" w:eastAsia="仿宋_GB2312"/>
                <w:sz w:val="24"/>
                <w:szCs w:val="24"/>
              </w:rPr>
              <w:t>（2）35岁以上糖尿病患者管理率高于全省平均水平5%，</w:t>
            </w:r>
            <w:r>
              <w:rPr>
                <w:rFonts w:hint="eastAsia" w:ascii="仿宋_GB2312" w:eastAsia="仿宋_GB2312"/>
                <w:sz w:val="24"/>
                <w:szCs w:val="24"/>
                <w:lang w:eastAsia="zh-CN"/>
              </w:rPr>
              <w:t>得</w:t>
            </w:r>
            <w:r>
              <w:rPr>
                <w:rFonts w:hint="eastAsia" w:ascii="仿宋_GB2312" w:eastAsia="仿宋_GB2312"/>
                <w:sz w:val="24"/>
                <w:szCs w:val="24"/>
              </w:rPr>
              <w:t>2分；高于3-5%，</w:t>
            </w:r>
            <w:r>
              <w:rPr>
                <w:rFonts w:hint="eastAsia" w:ascii="仿宋_GB2312" w:eastAsia="仿宋_GB2312"/>
                <w:sz w:val="24"/>
                <w:szCs w:val="24"/>
                <w:lang w:eastAsia="zh-CN"/>
              </w:rPr>
              <w:t>得</w:t>
            </w:r>
            <w:r>
              <w:rPr>
                <w:rFonts w:hint="eastAsia" w:ascii="仿宋_GB2312" w:eastAsia="仿宋_GB2312"/>
                <w:sz w:val="24"/>
                <w:szCs w:val="24"/>
              </w:rPr>
              <w:t>1分；低于3%不得分。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查阅国家基本公共卫生服务项目数据及年度考核情况。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5.提高管理人群高血压、糖尿病患者的控制率。</w:t>
            </w:r>
          </w:p>
        </w:tc>
        <w:tc>
          <w:tcPr>
            <w:tcW w:w="6197" w:type="dxa"/>
            <w:vAlign w:val="top"/>
          </w:tcPr>
          <w:p>
            <w:pPr>
              <w:rPr>
                <w:rFonts w:ascii="仿宋_GB2312" w:eastAsia="仿宋_GB2312"/>
                <w:sz w:val="24"/>
                <w:szCs w:val="24"/>
              </w:rPr>
            </w:pPr>
            <w:r>
              <w:rPr>
                <w:rFonts w:hint="eastAsia" w:ascii="仿宋_GB2312" w:eastAsia="仿宋_GB2312"/>
                <w:sz w:val="24"/>
                <w:szCs w:val="24"/>
              </w:rPr>
              <w:t>（1）高血压患者血压控制率高于全省平均水平5%，</w:t>
            </w:r>
            <w:r>
              <w:rPr>
                <w:rFonts w:hint="eastAsia" w:ascii="仿宋_GB2312" w:eastAsia="仿宋_GB2312"/>
                <w:sz w:val="24"/>
                <w:szCs w:val="24"/>
                <w:lang w:eastAsia="zh-CN"/>
              </w:rPr>
              <w:t>得</w:t>
            </w:r>
            <w:r>
              <w:rPr>
                <w:rFonts w:hint="eastAsia" w:ascii="仿宋_GB2312" w:eastAsia="仿宋_GB2312"/>
                <w:sz w:val="24"/>
                <w:szCs w:val="24"/>
              </w:rPr>
              <w:t>2分；高于3-5%，</w:t>
            </w:r>
            <w:r>
              <w:rPr>
                <w:rFonts w:hint="eastAsia" w:ascii="仿宋_GB2312" w:eastAsia="仿宋_GB2312"/>
                <w:sz w:val="24"/>
                <w:szCs w:val="24"/>
                <w:lang w:eastAsia="zh-CN"/>
              </w:rPr>
              <w:t>得</w:t>
            </w:r>
            <w:r>
              <w:rPr>
                <w:rFonts w:hint="eastAsia" w:ascii="仿宋_GB2312" w:eastAsia="仿宋_GB2312"/>
                <w:sz w:val="24"/>
                <w:szCs w:val="24"/>
              </w:rPr>
              <w:t>1分；低于3%不得分。</w:t>
            </w:r>
            <w:r>
              <w:rPr>
                <w:rFonts w:hint="eastAsia" w:ascii="仿宋_GB2312" w:eastAsia="仿宋_GB2312"/>
                <w:sz w:val="24"/>
                <w:szCs w:val="24"/>
              </w:rPr>
              <w:br w:type="textWrapping"/>
            </w:r>
            <w:r>
              <w:rPr>
                <w:rFonts w:hint="eastAsia" w:ascii="仿宋_GB2312" w:eastAsia="仿宋_GB2312"/>
                <w:sz w:val="24"/>
                <w:szCs w:val="24"/>
              </w:rPr>
              <w:t>（2）糖尿病患者血糖控制率高于全省平均水平5%，</w:t>
            </w:r>
            <w:r>
              <w:rPr>
                <w:rFonts w:hint="eastAsia" w:ascii="仿宋_GB2312" w:eastAsia="仿宋_GB2312"/>
                <w:sz w:val="24"/>
                <w:szCs w:val="24"/>
                <w:lang w:eastAsia="zh-CN"/>
              </w:rPr>
              <w:t>得</w:t>
            </w:r>
            <w:r>
              <w:rPr>
                <w:rFonts w:hint="eastAsia" w:ascii="仿宋_GB2312" w:eastAsia="仿宋_GB2312"/>
                <w:sz w:val="24"/>
                <w:szCs w:val="24"/>
              </w:rPr>
              <w:t>2分；高于3-5%，</w:t>
            </w:r>
            <w:r>
              <w:rPr>
                <w:rFonts w:hint="eastAsia" w:ascii="仿宋_GB2312" w:eastAsia="仿宋_GB2312"/>
                <w:sz w:val="24"/>
                <w:szCs w:val="24"/>
                <w:lang w:eastAsia="zh-CN"/>
              </w:rPr>
              <w:t>得</w:t>
            </w:r>
            <w:r>
              <w:rPr>
                <w:rFonts w:hint="eastAsia" w:ascii="仿宋_GB2312" w:eastAsia="仿宋_GB2312"/>
                <w:sz w:val="24"/>
                <w:szCs w:val="24"/>
              </w:rPr>
              <w:t>1分；低于3%不得分。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查阅国家基本公共卫生服务项目数据及年度考核情况。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883" w:type="dxa"/>
            <w:vMerge w:val="continue"/>
            <w:vAlign w:val="center"/>
          </w:tcPr>
          <w:p>
            <w:pPr>
              <w:jc w:val="center"/>
              <w:rPr>
                <w:rFonts w:ascii="仿宋_GB2312" w:eastAsia="仿宋_GB2312"/>
                <w:sz w:val="28"/>
                <w:szCs w:val="28"/>
              </w:rPr>
            </w:pPr>
          </w:p>
        </w:tc>
        <w:tc>
          <w:tcPr>
            <w:tcW w:w="1975" w:type="dxa"/>
            <w:vMerge w:val="restart"/>
            <w:vAlign w:val="center"/>
          </w:tcPr>
          <w:p>
            <w:pPr>
              <w:jc w:val="left"/>
              <w:rPr>
                <w:rFonts w:ascii="仿宋_GB2312" w:eastAsia="仿宋_GB2312"/>
                <w:sz w:val="28"/>
                <w:szCs w:val="28"/>
              </w:rPr>
            </w:pPr>
            <w:r>
              <w:rPr>
                <w:rFonts w:hint="eastAsia" w:ascii="仿宋_GB2312" w:eastAsia="仿宋_GB2312"/>
                <w:sz w:val="28"/>
                <w:szCs w:val="28"/>
              </w:rPr>
              <w:t>（三）在重点人群中开展口腔疾病防治。</w:t>
            </w:r>
          </w:p>
          <w:p>
            <w:pPr>
              <w:jc w:val="left"/>
              <w:rPr>
                <w:rFonts w:ascii="仿宋_GB2312" w:eastAsia="仿宋_GB2312"/>
                <w:sz w:val="28"/>
                <w:szCs w:val="28"/>
              </w:rPr>
            </w:pPr>
            <w:r>
              <w:rPr>
                <w:rFonts w:hint="eastAsia" w:ascii="仿宋_GB2312" w:eastAsia="仿宋_GB2312"/>
                <w:sz w:val="28"/>
                <w:szCs w:val="28"/>
              </w:rPr>
              <w:t>（6分）</w:t>
            </w: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1.实施儿童窝沟封闭，社区协同开展健康口腔活动。</w:t>
            </w:r>
          </w:p>
        </w:tc>
        <w:tc>
          <w:tcPr>
            <w:tcW w:w="6197" w:type="dxa"/>
            <w:vAlign w:val="top"/>
          </w:tcPr>
          <w:p>
            <w:pPr>
              <w:rPr>
                <w:rFonts w:ascii="仿宋_GB2312" w:eastAsia="仿宋_GB2312"/>
                <w:sz w:val="24"/>
                <w:szCs w:val="24"/>
              </w:rPr>
            </w:pPr>
            <w:r>
              <w:rPr>
                <w:rFonts w:hint="eastAsia" w:ascii="仿宋_GB2312" w:eastAsia="仿宋_GB2312"/>
                <w:sz w:val="24"/>
                <w:szCs w:val="24"/>
              </w:rPr>
              <w:t>（1）辖区内实施儿童窝沟封闭学校比例≥60%，</w:t>
            </w:r>
            <w:r>
              <w:rPr>
                <w:rFonts w:hint="eastAsia" w:ascii="仿宋_GB2312" w:eastAsia="仿宋_GB2312"/>
                <w:sz w:val="24"/>
                <w:szCs w:val="24"/>
                <w:lang w:eastAsia="zh-CN"/>
              </w:rPr>
              <w:t>得</w:t>
            </w:r>
            <w:r>
              <w:rPr>
                <w:rFonts w:hint="eastAsia" w:ascii="仿宋_GB2312" w:eastAsia="仿宋_GB2312"/>
                <w:sz w:val="24"/>
                <w:szCs w:val="24"/>
              </w:rPr>
              <w:t>2分；50-60%，</w:t>
            </w:r>
            <w:r>
              <w:rPr>
                <w:rFonts w:hint="eastAsia" w:ascii="仿宋_GB2312" w:eastAsia="仿宋_GB2312"/>
                <w:sz w:val="24"/>
                <w:szCs w:val="24"/>
                <w:lang w:eastAsia="zh-CN"/>
              </w:rPr>
              <w:t>得</w:t>
            </w:r>
            <w:r>
              <w:rPr>
                <w:rFonts w:hint="eastAsia" w:ascii="仿宋_GB2312" w:eastAsia="仿宋_GB2312"/>
                <w:sz w:val="24"/>
                <w:szCs w:val="24"/>
              </w:rPr>
              <w:t>1分；低于50%不得分。</w:t>
            </w:r>
          </w:p>
          <w:p>
            <w:pPr>
              <w:rPr>
                <w:rFonts w:ascii="仿宋_GB2312" w:eastAsia="仿宋_GB2312"/>
                <w:sz w:val="24"/>
                <w:szCs w:val="24"/>
              </w:rPr>
            </w:pPr>
            <w:r>
              <w:rPr>
                <w:rFonts w:hint="eastAsia" w:ascii="仿宋_GB2312" w:eastAsia="仿宋_GB2312"/>
                <w:sz w:val="24"/>
                <w:szCs w:val="24"/>
              </w:rPr>
              <w:t>（2）社区协同开展健康口腔活动，</w:t>
            </w:r>
            <w:r>
              <w:rPr>
                <w:rFonts w:hint="eastAsia" w:ascii="仿宋_GB2312" w:eastAsia="仿宋_GB2312"/>
                <w:sz w:val="24"/>
                <w:szCs w:val="24"/>
                <w:lang w:eastAsia="zh-CN"/>
              </w:rPr>
              <w:t>得</w:t>
            </w:r>
            <w:r>
              <w:rPr>
                <w:rFonts w:hint="eastAsia" w:ascii="仿宋_GB2312" w:eastAsia="仿宋_GB2312"/>
                <w:sz w:val="24"/>
                <w:szCs w:val="24"/>
              </w:rPr>
              <w:t>1分。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查阅文件、已组织开展窝沟封闭活动的学校名单、资料。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2.控制12岁儿童患龋率。</w:t>
            </w:r>
          </w:p>
        </w:tc>
        <w:tc>
          <w:tcPr>
            <w:tcW w:w="6197" w:type="dxa"/>
            <w:vAlign w:val="top"/>
          </w:tcPr>
          <w:p>
            <w:pPr>
              <w:rPr>
                <w:rFonts w:ascii="仿宋_GB2312" w:eastAsia="仿宋_GB2312"/>
                <w:sz w:val="24"/>
                <w:szCs w:val="24"/>
              </w:rPr>
            </w:pPr>
            <w:r>
              <w:rPr>
                <w:rFonts w:hint="eastAsia" w:ascii="仿宋_GB2312" w:eastAsia="仿宋_GB2312"/>
                <w:sz w:val="24"/>
                <w:szCs w:val="24"/>
              </w:rPr>
              <w:t>辖区12岁儿童患龋率低于25%，</w:t>
            </w:r>
            <w:r>
              <w:rPr>
                <w:rFonts w:hint="eastAsia" w:ascii="仿宋_GB2312" w:eastAsia="仿宋_GB2312"/>
                <w:sz w:val="24"/>
                <w:szCs w:val="24"/>
                <w:lang w:eastAsia="zh-CN"/>
              </w:rPr>
              <w:t>得</w:t>
            </w:r>
            <w:r>
              <w:rPr>
                <w:rFonts w:hint="eastAsia" w:ascii="仿宋_GB2312" w:eastAsia="仿宋_GB2312"/>
                <w:sz w:val="24"/>
                <w:szCs w:val="24"/>
              </w:rPr>
              <w:t>3分；不达标不得分。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查阅资料。现场抽取一所开展口腔活动的小学，抽查10名患龋儿童，检查患龋情况。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restart"/>
            <w:vAlign w:val="center"/>
          </w:tcPr>
          <w:p>
            <w:pPr>
              <w:jc w:val="left"/>
              <w:rPr>
                <w:rFonts w:ascii="仿宋_GB2312" w:eastAsia="仿宋_GB2312"/>
                <w:sz w:val="28"/>
                <w:szCs w:val="28"/>
              </w:rPr>
            </w:pPr>
            <w:r>
              <w:rPr>
                <w:rFonts w:hint="eastAsia" w:ascii="仿宋_GB2312" w:eastAsia="仿宋_GB2312"/>
                <w:sz w:val="28"/>
                <w:szCs w:val="28"/>
              </w:rPr>
              <w:t>（四）完善区域信息平台，实现医疗卫生机构间互联互通、信息共享。</w:t>
            </w:r>
          </w:p>
          <w:p>
            <w:pPr>
              <w:jc w:val="left"/>
              <w:rPr>
                <w:rFonts w:ascii="仿宋_GB2312" w:eastAsia="仿宋_GB2312"/>
                <w:sz w:val="28"/>
                <w:szCs w:val="28"/>
              </w:rPr>
            </w:pPr>
            <w:r>
              <w:rPr>
                <w:rFonts w:hint="eastAsia" w:ascii="仿宋_GB2312" w:eastAsia="仿宋_GB2312"/>
                <w:sz w:val="28"/>
                <w:szCs w:val="28"/>
              </w:rPr>
              <w:t>（15分）</w:t>
            </w: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1.建立区域卫生信息平台，实现公共卫生服务、诊疗信息互联互通。</w:t>
            </w:r>
          </w:p>
        </w:tc>
        <w:tc>
          <w:tcPr>
            <w:tcW w:w="6197" w:type="dxa"/>
            <w:vAlign w:val="top"/>
          </w:tcPr>
          <w:p>
            <w:pPr>
              <w:rPr>
                <w:rFonts w:ascii="仿宋_GB2312" w:eastAsia="仿宋_GB2312"/>
                <w:sz w:val="24"/>
                <w:szCs w:val="24"/>
              </w:rPr>
            </w:pPr>
            <w:r>
              <w:rPr>
                <w:rFonts w:hint="eastAsia" w:ascii="仿宋_GB2312" w:eastAsia="仿宋_GB2312"/>
                <w:sz w:val="24"/>
                <w:szCs w:val="24"/>
              </w:rPr>
              <w:t>（1）建立区域卫生信息平台，</w:t>
            </w:r>
            <w:r>
              <w:rPr>
                <w:rFonts w:hint="eastAsia" w:ascii="仿宋_GB2312" w:eastAsia="仿宋_GB2312"/>
                <w:sz w:val="24"/>
                <w:szCs w:val="24"/>
                <w:lang w:eastAsia="zh-CN"/>
              </w:rPr>
              <w:t>得</w:t>
            </w:r>
            <w:r>
              <w:rPr>
                <w:rFonts w:hint="eastAsia" w:ascii="仿宋_GB2312" w:eastAsia="仿宋_GB2312"/>
                <w:sz w:val="24"/>
                <w:szCs w:val="24"/>
              </w:rPr>
              <w:t>4分。</w:t>
            </w:r>
            <w:r>
              <w:rPr>
                <w:rFonts w:hint="eastAsia" w:ascii="仿宋_GB2312" w:eastAsia="仿宋_GB2312"/>
                <w:sz w:val="24"/>
                <w:szCs w:val="24"/>
              </w:rPr>
              <w:br w:type="textWrapping"/>
            </w:r>
            <w:r>
              <w:rPr>
                <w:rFonts w:hint="eastAsia" w:ascii="仿宋_GB2312" w:eastAsia="仿宋_GB2312"/>
                <w:sz w:val="24"/>
                <w:szCs w:val="24"/>
              </w:rPr>
              <w:t>（2）专业公共卫生机构、二级及以上医院和基层医疗卫生机构之间实现互联互通和信息共享，</w:t>
            </w:r>
            <w:r>
              <w:rPr>
                <w:rFonts w:hint="eastAsia" w:ascii="仿宋_GB2312" w:eastAsia="仿宋_GB2312"/>
                <w:sz w:val="24"/>
                <w:szCs w:val="24"/>
                <w:lang w:eastAsia="zh-CN"/>
              </w:rPr>
              <w:t>得</w:t>
            </w:r>
            <w:r>
              <w:rPr>
                <w:rFonts w:hint="eastAsia" w:ascii="仿宋_GB2312" w:eastAsia="仿宋_GB2312"/>
                <w:sz w:val="24"/>
                <w:szCs w:val="24"/>
              </w:rPr>
              <w:t>3分。</w:t>
            </w:r>
          </w:p>
          <w:p>
            <w:pPr>
              <w:rPr>
                <w:rFonts w:ascii="仿宋_GB2312" w:eastAsia="仿宋_GB2312"/>
                <w:sz w:val="24"/>
                <w:szCs w:val="24"/>
              </w:rPr>
            </w:pPr>
            <w:r>
              <w:rPr>
                <w:rFonts w:hint="eastAsia" w:ascii="仿宋_GB2312" w:eastAsia="仿宋_GB2312"/>
                <w:sz w:val="24"/>
                <w:szCs w:val="24"/>
              </w:rPr>
              <w:t>（3）实现电子健康档案和电子病历的连续记录和信息共享，</w:t>
            </w:r>
            <w:r>
              <w:rPr>
                <w:rFonts w:hint="eastAsia" w:ascii="仿宋_GB2312" w:eastAsia="仿宋_GB2312"/>
                <w:sz w:val="24"/>
                <w:szCs w:val="24"/>
                <w:lang w:eastAsia="zh-CN"/>
              </w:rPr>
              <w:t>得</w:t>
            </w:r>
            <w:r>
              <w:rPr>
                <w:rFonts w:hint="eastAsia" w:ascii="仿宋_GB2312" w:eastAsia="仿宋_GB2312"/>
                <w:sz w:val="24"/>
                <w:szCs w:val="24"/>
              </w:rPr>
              <w:t>3分。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10</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查阅资料，现场查看信息平台运行，信息共享情况。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2.应用互联网+、健康大数据提供便捷、高效的健康管理服务。</w:t>
            </w:r>
          </w:p>
        </w:tc>
        <w:tc>
          <w:tcPr>
            <w:tcW w:w="6197" w:type="dxa"/>
            <w:vAlign w:val="top"/>
          </w:tcPr>
          <w:p>
            <w:pPr>
              <w:rPr>
                <w:rFonts w:ascii="仿宋_GB2312" w:eastAsia="仿宋_GB2312"/>
                <w:sz w:val="24"/>
                <w:szCs w:val="24"/>
              </w:rPr>
            </w:pPr>
            <w:r>
              <w:rPr>
                <w:rFonts w:hint="eastAsia" w:ascii="仿宋_GB2312" w:eastAsia="仿宋_GB2312"/>
                <w:sz w:val="24"/>
                <w:szCs w:val="24"/>
              </w:rPr>
              <w:t>应用互联网+、健康大数据为签约服务的患者提供健康管理和诊疗服务，</w:t>
            </w:r>
            <w:r>
              <w:rPr>
                <w:rFonts w:hint="eastAsia" w:ascii="仿宋_GB2312" w:eastAsia="仿宋_GB2312"/>
                <w:sz w:val="24"/>
                <w:szCs w:val="24"/>
                <w:lang w:eastAsia="zh-CN"/>
              </w:rPr>
              <w:t>得</w:t>
            </w:r>
            <w:r>
              <w:rPr>
                <w:rFonts w:hint="eastAsia" w:ascii="仿宋_GB2312" w:eastAsia="仿宋_GB2312"/>
                <w:sz w:val="24"/>
                <w:szCs w:val="24"/>
              </w:rPr>
              <w:t>5分。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5</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查阅资料，现场评估。</w:t>
            </w:r>
          </w:p>
          <w:p>
            <w:pPr>
              <w:widowControl/>
              <w:rPr>
                <w:rFonts w:ascii="仿宋_GB2312"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restart"/>
            <w:vAlign w:val="center"/>
          </w:tcPr>
          <w:p>
            <w:pPr>
              <w:jc w:val="left"/>
              <w:rPr>
                <w:rFonts w:ascii="仿宋_GB2312" w:eastAsia="仿宋_GB2312"/>
                <w:sz w:val="28"/>
                <w:szCs w:val="28"/>
              </w:rPr>
            </w:pPr>
            <w:r>
              <w:rPr>
                <w:rFonts w:hint="eastAsia" w:ascii="仿宋_GB2312" w:eastAsia="仿宋_GB2312"/>
                <w:sz w:val="28"/>
                <w:szCs w:val="28"/>
              </w:rPr>
              <w:t>（五）中西医并重，发挥中医药在慢性病预防、保健、诊疗、康复中的作用。（7分）</w:t>
            </w: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1.辖区各社区卫生服务中心、乡镇卫生院有中医综合服务区。</w:t>
            </w:r>
          </w:p>
        </w:tc>
        <w:tc>
          <w:tcPr>
            <w:tcW w:w="6197" w:type="dxa"/>
            <w:vAlign w:val="top"/>
          </w:tcPr>
          <w:p>
            <w:pPr>
              <w:rPr>
                <w:rFonts w:ascii="仿宋_GB2312" w:eastAsia="仿宋_GB2312"/>
                <w:sz w:val="24"/>
                <w:szCs w:val="24"/>
              </w:rPr>
            </w:pPr>
            <w:r>
              <w:rPr>
                <w:rFonts w:hint="eastAsia" w:ascii="仿宋_GB2312" w:eastAsia="仿宋_GB2312"/>
                <w:sz w:val="24"/>
                <w:szCs w:val="24"/>
              </w:rPr>
              <w:t>设有中医综合服务区的社区卫生服务中心、乡镇卫生院比例达100%，</w:t>
            </w:r>
            <w:r>
              <w:rPr>
                <w:rFonts w:hint="eastAsia" w:ascii="仿宋_GB2312" w:eastAsia="仿宋_GB2312"/>
                <w:sz w:val="24"/>
                <w:szCs w:val="24"/>
                <w:lang w:eastAsia="zh-CN"/>
              </w:rPr>
              <w:t>得</w:t>
            </w:r>
            <w:r>
              <w:rPr>
                <w:rFonts w:hint="eastAsia" w:ascii="仿宋_GB2312" w:eastAsia="仿宋_GB2312"/>
                <w:sz w:val="24"/>
                <w:szCs w:val="24"/>
              </w:rPr>
              <w:t>3分。</w:t>
            </w:r>
          </w:p>
          <w:p>
            <w:pPr>
              <w:rPr>
                <w:rFonts w:ascii="仿宋_GB2312" w:eastAsia="仿宋_GB2312"/>
                <w:sz w:val="24"/>
                <w:szCs w:val="24"/>
              </w:rPr>
            </w:pP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查阅资料。</w:t>
            </w:r>
          </w:p>
          <w:p>
            <w:pPr>
              <w:widowControl/>
              <w:rPr>
                <w:rFonts w:ascii="仿宋_GB2312"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2.开展中医药养生保健知识的宣传及中医适宜技术推广。</w:t>
            </w:r>
          </w:p>
        </w:tc>
        <w:tc>
          <w:tcPr>
            <w:tcW w:w="6197" w:type="dxa"/>
            <w:vAlign w:val="top"/>
          </w:tcPr>
          <w:p>
            <w:pPr>
              <w:rPr>
                <w:rFonts w:ascii="仿宋_GB2312" w:eastAsia="仿宋_GB2312"/>
                <w:sz w:val="24"/>
                <w:szCs w:val="24"/>
              </w:rPr>
            </w:pPr>
            <w:r>
              <w:rPr>
                <w:rFonts w:hint="eastAsia" w:ascii="仿宋_GB2312" w:eastAsia="仿宋_GB2312"/>
                <w:sz w:val="24"/>
                <w:szCs w:val="24"/>
              </w:rPr>
              <w:t>（1）宣传中医药养生保健知识，</w:t>
            </w:r>
            <w:r>
              <w:rPr>
                <w:rFonts w:hint="eastAsia" w:ascii="仿宋_GB2312" w:eastAsia="仿宋_GB2312"/>
                <w:sz w:val="24"/>
                <w:szCs w:val="24"/>
                <w:lang w:eastAsia="zh-CN"/>
              </w:rPr>
              <w:t>得</w:t>
            </w:r>
            <w:r>
              <w:rPr>
                <w:rFonts w:hint="eastAsia" w:ascii="仿宋_GB2312" w:eastAsia="仿宋_GB2312"/>
                <w:sz w:val="24"/>
                <w:szCs w:val="24"/>
              </w:rPr>
              <w:t>2分。</w:t>
            </w:r>
          </w:p>
          <w:p>
            <w:pPr>
              <w:rPr>
                <w:rFonts w:ascii="仿宋_GB2312" w:eastAsia="仿宋_GB2312"/>
                <w:sz w:val="24"/>
                <w:szCs w:val="24"/>
              </w:rPr>
            </w:pPr>
            <w:r>
              <w:rPr>
                <w:rFonts w:hint="eastAsia" w:ascii="仿宋_GB2312" w:eastAsia="仿宋_GB2312"/>
                <w:sz w:val="24"/>
                <w:szCs w:val="24"/>
              </w:rPr>
              <w:t>（2）推广中医适宜技术，</w:t>
            </w:r>
            <w:r>
              <w:rPr>
                <w:rFonts w:hint="eastAsia" w:ascii="仿宋_GB2312" w:eastAsia="仿宋_GB2312"/>
                <w:sz w:val="24"/>
                <w:szCs w:val="24"/>
                <w:lang w:eastAsia="zh-CN"/>
              </w:rPr>
              <w:t>得</w:t>
            </w:r>
            <w:r>
              <w:rPr>
                <w:rFonts w:hint="eastAsia" w:ascii="仿宋_GB2312" w:eastAsia="仿宋_GB2312"/>
                <w:sz w:val="24"/>
                <w:szCs w:val="24"/>
              </w:rPr>
              <w:t>2分。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查阅资料，现场评估。</w:t>
            </w:r>
          </w:p>
          <w:p>
            <w:pPr>
              <w:widowControl/>
              <w:rPr>
                <w:rFonts w:ascii="仿宋_GB2312" w:eastAsia="仿宋_GB2312" w:cs="宋体"/>
                <w:kern w:val="0"/>
                <w:sz w:val="24"/>
                <w:szCs w:val="24"/>
              </w:rPr>
            </w:pPr>
            <w:r>
              <w:rPr>
                <w:rFonts w:hint="eastAsia" w:ascii="仿宋_GB2312" w:eastAsia="仿宋_GB2312" w:cs="宋体"/>
                <w:kern w:val="0"/>
                <w:sz w:val="24"/>
                <w:szCs w:val="24"/>
              </w:rPr>
              <w:t>抽查一家机构考核中医药养生的开展情况，查看相关文件、工作记录、影像资料，了解社区对中医院养生工作情况。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restart"/>
            <w:vAlign w:val="center"/>
          </w:tcPr>
          <w:p>
            <w:pPr>
              <w:jc w:val="left"/>
              <w:rPr>
                <w:rFonts w:ascii="仿宋_GB2312" w:eastAsia="仿宋_GB2312"/>
                <w:sz w:val="28"/>
                <w:szCs w:val="28"/>
              </w:rPr>
            </w:pPr>
            <w:r>
              <w:rPr>
                <w:rFonts w:hint="eastAsia" w:ascii="仿宋_GB2312" w:eastAsia="仿宋_GB2312"/>
                <w:sz w:val="24"/>
                <w:szCs w:val="24"/>
              </w:rPr>
              <w:t>（六）做好基本医疗保险、城乡居民大病保险和医疗救助重大疾病保障的衔接。（7分）</w:t>
            </w: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1.做好基本医疗保险、城乡居民大病保险和医疗救助重大疾病保障。</w:t>
            </w:r>
          </w:p>
        </w:tc>
        <w:tc>
          <w:tcPr>
            <w:tcW w:w="6197" w:type="dxa"/>
            <w:vAlign w:val="top"/>
          </w:tcPr>
          <w:p>
            <w:pPr>
              <w:rPr>
                <w:rFonts w:ascii="仿宋_GB2312" w:eastAsia="仿宋_GB2312"/>
                <w:sz w:val="24"/>
                <w:szCs w:val="24"/>
              </w:rPr>
            </w:pPr>
            <w:r>
              <w:rPr>
                <w:rFonts w:hint="eastAsia" w:ascii="仿宋_GB2312" w:eastAsia="仿宋_GB2312"/>
                <w:sz w:val="24"/>
                <w:szCs w:val="24"/>
              </w:rPr>
              <w:t>（1）落实基本医疗保险、大病保险和医疗救助重大疾病保障等相关政策，</w:t>
            </w:r>
            <w:r>
              <w:rPr>
                <w:rFonts w:hint="eastAsia" w:ascii="仿宋_GB2312" w:eastAsia="仿宋_GB2312"/>
                <w:sz w:val="24"/>
                <w:szCs w:val="24"/>
                <w:lang w:eastAsia="zh-CN"/>
              </w:rPr>
              <w:t>得</w:t>
            </w:r>
            <w:r>
              <w:rPr>
                <w:rFonts w:hint="eastAsia" w:ascii="仿宋_GB2312" w:eastAsia="仿宋_GB2312"/>
                <w:sz w:val="24"/>
                <w:szCs w:val="24"/>
              </w:rPr>
              <w:t>2分。</w:t>
            </w:r>
            <w:r>
              <w:rPr>
                <w:rFonts w:hint="eastAsia" w:ascii="仿宋_GB2312" w:eastAsia="仿宋_GB2312"/>
                <w:sz w:val="24"/>
                <w:szCs w:val="24"/>
              </w:rPr>
              <w:br w:type="textWrapping"/>
            </w:r>
            <w:r>
              <w:rPr>
                <w:rFonts w:hint="eastAsia" w:ascii="仿宋_GB2312" w:eastAsia="仿宋_GB2312"/>
                <w:sz w:val="24"/>
                <w:szCs w:val="24"/>
              </w:rPr>
              <w:t>（2）提高签约患者的医疗保障水平和残疾人、流动人口、低收入等人群医疗救助水平的具体措施，</w:t>
            </w:r>
            <w:r>
              <w:rPr>
                <w:rFonts w:hint="eastAsia" w:ascii="仿宋_GB2312" w:eastAsia="仿宋_GB2312"/>
                <w:sz w:val="24"/>
                <w:szCs w:val="24"/>
                <w:lang w:eastAsia="zh-CN"/>
              </w:rPr>
              <w:t>得</w:t>
            </w:r>
            <w:r>
              <w:rPr>
                <w:rFonts w:hint="eastAsia" w:ascii="仿宋_GB2312" w:eastAsia="仿宋_GB2312"/>
                <w:sz w:val="24"/>
                <w:szCs w:val="24"/>
              </w:rPr>
              <w:t>2分。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查阅相关政策文件，现场走访了解政策落实情况。</w:t>
            </w:r>
          </w:p>
          <w:p>
            <w:pPr>
              <w:widowControl/>
              <w:rPr>
                <w:rFonts w:ascii="仿宋_GB2312"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adjustRightInd w:val="0"/>
              <w:snapToGrid w:val="0"/>
              <w:spacing w:beforeLines="0" w:afterLines="0" w:line="300" w:lineRule="exact"/>
              <w:rPr>
                <w:rFonts w:ascii="仿宋_GB2312" w:eastAsia="仿宋_GB2312" w:cs="宋体"/>
                <w:kern w:val="0"/>
                <w:sz w:val="24"/>
                <w:szCs w:val="24"/>
              </w:rPr>
            </w:pPr>
            <w:r>
              <w:rPr>
                <w:rFonts w:hint="eastAsia" w:ascii="仿宋_GB2312" w:eastAsia="仿宋_GB2312" w:cs="宋体"/>
                <w:kern w:val="0"/>
                <w:sz w:val="24"/>
                <w:szCs w:val="24"/>
              </w:rPr>
              <w:t>2.基层医疗卫生机构优先配备使用基本药物，根据省级医保药品报销目录，配备使用一定数量或比例的药品。</w:t>
            </w:r>
          </w:p>
        </w:tc>
        <w:tc>
          <w:tcPr>
            <w:tcW w:w="6197" w:type="dxa"/>
            <w:vAlign w:val="top"/>
          </w:tcPr>
          <w:p>
            <w:pPr>
              <w:rPr>
                <w:rFonts w:ascii="仿宋_GB2312" w:eastAsia="仿宋_GB2312"/>
                <w:sz w:val="24"/>
                <w:szCs w:val="24"/>
              </w:rPr>
            </w:pPr>
            <w:r>
              <w:rPr>
                <w:rFonts w:hint="eastAsia" w:ascii="仿宋_GB2312" w:eastAsia="仿宋_GB2312"/>
                <w:sz w:val="24"/>
                <w:szCs w:val="24"/>
              </w:rPr>
              <w:t>（1）按基本药物目录配置，</w:t>
            </w:r>
            <w:r>
              <w:rPr>
                <w:rFonts w:hint="eastAsia" w:ascii="仿宋_GB2312" w:eastAsia="仿宋_GB2312"/>
                <w:sz w:val="24"/>
                <w:szCs w:val="24"/>
                <w:lang w:eastAsia="zh-CN"/>
              </w:rPr>
              <w:t>得</w:t>
            </w:r>
            <w:r>
              <w:rPr>
                <w:rFonts w:hint="eastAsia" w:ascii="仿宋_GB2312" w:eastAsia="仿宋_GB2312"/>
                <w:sz w:val="24"/>
                <w:szCs w:val="24"/>
              </w:rPr>
              <w:t>1分。</w:t>
            </w:r>
          </w:p>
          <w:p>
            <w:pPr>
              <w:rPr>
                <w:rFonts w:ascii="仿宋_GB2312" w:eastAsia="仿宋_GB2312"/>
                <w:sz w:val="24"/>
                <w:szCs w:val="24"/>
              </w:rPr>
            </w:pPr>
            <w:r>
              <w:rPr>
                <w:rFonts w:hint="eastAsia" w:ascii="仿宋_GB2312" w:eastAsia="仿宋_GB2312"/>
                <w:sz w:val="24"/>
                <w:szCs w:val="24"/>
              </w:rPr>
              <w:t>（2）按省级卫生计生行政部门规定和要求配备使用医保报销药物，非基本药物占基层用药的30%及以上，</w:t>
            </w:r>
            <w:r>
              <w:rPr>
                <w:rFonts w:hint="eastAsia" w:ascii="仿宋_GB2312" w:eastAsia="仿宋_GB2312"/>
                <w:sz w:val="24"/>
                <w:szCs w:val="24"/>
                <w:lang w:eastAsia="zh-CN"/>
              </w:rPr>
              <w:t>得</w:t>
            </w:r>
            <w:r>
              <w:rPr>
                <w:rFonts w:hint="eastAsia" w:ascii="仿宋_GB2312" w:eastAsia="仿宋_GB2312"/>
                <w:sz w:val="24"/>
                <w:szCs w:val="24"/>
              </w:rPr>
              <w:t>2分；低于30%不得分。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查阅相关文件资料，现场评估。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restart"/>
            <w:vAlign w:val="center"/>
          </w:tcPr>
          <w:p>
            <w:pPr>
              <w:adjustRightInd w:val="0"/>
              <w:snapToGrid w:val="0"/>
              <w:spacing w:beforeLines="0" w:afterLines="0" w:line="360" w:lineRule="exact"/>
              <w:jc w:val="left"/>
              <w:rPr>
                <w:rFonts w:ascii="仿宋_GB2312" w:eastAsia="仿宋_GB2312"/>
                <w:sz w:val="28"/>
                <w:szCs w:val="28"/>
              </w:rPr>
            </w:pPr>
            <w:r>
              <w:rPr>
                <w:rFonts w:hint="eastAsia" w:ascii="仿宋_GB2312" w:eastAsia="仿宋_GB2312"/>
                <w:sz w:val="28"/>
                <w:szCs w:val="28"/>
              </w:rPr>
              <w:t>（七）动员社会力量参与慢性病防控工作，促进医养结合。</w:t>
            </w:r>
          </w:p>
          <w:p>
            <w:pPr>
              <w:adjustRightInd w:val="0"/>
              <w:snapToGrid w:val="0"/>
              <w:spacing w:beforeLines="0" w:afterLines="0" w:line="360" w:lineRule="exact"/>
              <w:jc w:val="left"/>
              <w:rPr>
                <w:rFonts w:ascii="仿宋_GB2312" w:eastAsia="仿宋_GB2312"/>
                <w:sz w:val="28"/>
                <w:szCs w:val="28"/>
              </w:rPr>
            </w:pPr>
            <w:r>
              <w:rPr>
                <w:rFonts w:hint="eastAsia" w:ascii="仿宋_GB2312" w:eastAsia="仿宋_GB2312"/>
                <w:sz w:val="28"/>
                <w:szCs w:val="28"/>
              </w:rPr>
              <w:t>（7分）</w:t>
            </w:r>
          </w:p>
        </w:tc>
        <w:tc>
          <w:tcPr>
            <w:tcW w:w="2260" w:type="dxa"/>
            <w:vAlign w:val="top"/>
          </w:tcPr>
          <w:p>
            <w:pPr>
              <w:widowControl/>
              <w:adjustRightInd w:val="0"/>
              <w:snapToGrid w:val="0"/>
              <w:spacing w:beforeLines="0" w:afterLines="0" w:line="300" w:lineRule="exact"/>
              <w:rPr>
                <w:rFonts w:ascii="仿宋_GB2312" w:eastAsia="仿宋_GB2312" w:cs="宋体"/>
                <w:kern w:val="0"/>
                <w:sz w:val="24"/>
                <w:szCs w:val="24"/>
              </w:rPr>
            </w:pPr>
            <w:r>
              <w:rPr>
                <w:rFonts w:hint="eastAsia" w:ascii="仿宋_GB2312" w:eastAsia="仿宋_GB2312" w:cs="宋体"/>
                <w:kern w:val="0"/>
                <w:sz w:val="24"/>
                <w:szCs w:val="24"/>
              </w:rPr>
              <w:t>1.政府引导、市场驱动、社会力量参与，为慢性病患者提供健康管理服务。</w:t>
            </w:r>
          </w:p>
        </w:tc>
        <w:tc>
          <w:tcPr>
            <w:tcW w:w="6197" w:type="dxa"/>
            <w:vAlign w:val="top"/>
          </w:tcPr>
          <w:p>
            <w:pPr>
              <w:adjustRightInd w:val="0"/>
              <w:snapToGrid w:val="0"/>
              <w:spacing w:beforeLines="0" w:afterLines="0" w:line="300" w:lineRule="exact"/>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有效</w:t>
            </w:r>
            <w:r>
              <w:rPr>
                <w:rFonts w:hint="eastAsia" w:ascii="仿宋_GB2312" w:eastAsia="仿宋_GB2312"/>
                <w:sz w:val="24"/>
                <w:szCs w:val="24"/>
              </w:rPr>
              <w:t>引进社会资本参与慢性病防控</w:t>
            </w:r>
            <w:r>
              <w:rPr>
                <w:rFonts w:ascii="仿宋_GB2312" w:eastAsia="仿宋_GB2312"/>
                <w:sz w:val="24"/>
                <w:szCs w:val="24"/>
              </w:rPr>
              <w:t>，</w:t>
            </w:r>
            <w:r>
              <w:rPr>
                <w:rFonts w:hint="eastAsia" w:ascii="仿宋_GB2312" w:eastAsia="仿宋_GB2312"/>
                <w:sz w:val="24"/>
                <w:szCs w:val="24"/>
                <w:lang w:eastAsia="zh-CN"/>
              </w:rPr>
              <w:t>得</w:t>
            </w:r>
            <w:r>
              <w:rPr>
                <w:rFonts w:hint="eastAsia" w:ascii="仿宋_GB2312" w:eastAsia="仿宋_GB2312"/>
                <w:sz w:val="24"/>
                <w:szCs w:val="24"/>
              </w:rPr>
              <w:t>1</w:t>
            </w:r>
            <w:r>
              <w:rPr>
                <w:rFonts w:ascii="仿宋_GB2312" w:eastAsia="仿宋_GB2312"/>
                <w:sz w:val="24"/>
                <w:szCs w:val="24"/>
              </w:rPr>
              <w:t>分</w:t>
            </w:r>
            <w:r>
              <w:rPr>
                <w:rFonts w:hint="eastAsia" w:ascii="仿宋_GB2312" w:eastAsia="仿宋_GB2312"/>
                <w:sz w:val="24"/>
                <w:szCs w:val="24"/>
              </w:rPr>
              <w:t>。</w:t>
            </w:r>
          </w:p>
          <w:p>
            <w:pPr>
              <w:adjustRightInd w:val="0"/>
              <w:snapToGrid w:val="0"/>
              <w:spacing w:beforeLines="0" w:afterLines="0" w:line="300" w:lineRule="exact"/>
              <w:rPr>
                <w:rFonts w:ascii="仿宋_GB2312" w:eastAsia="仿宋_GB2312"/>
                <w:sz w:val="24"/>
                <w:szCs w:val="24"/>
              </w:rPr>
            </w:pPr>
            <w:r>
              <w:rPr>
                <w:rFonts w:hint="eastAsia" w:ascii="仿宋_GB2312" w:eastAsia="仿宋_GB2312"/>
                <w:sz w:val="24"/>
                <w:szCs w:val="24"/>
              </w:rPr>
              <w:t>（2）商业健康保险</w:t>
            </w:r>
            <w:r>
              <w:rPr>
                <w:rFonts w:ascii="仿宋_GB2312" w:eastAsia="仿宋_GB2312"/>
                <w:sz w:val="24"/>
                <w:szCs w:val="24"/>
              </w:rPr>
              <w:t>参与</w:t>
            </w:r>
            <w:r>
              <w:rPr>
                <w:rFonts w:hint="eastAsia" w:ascii="仿宋_GB2312" w:eastAsia="仿宋_GB2312"/>
                <w:sz w:val="24"/>
                <w:szCs w:val="24"/>
              </w:rPr>
              <w:t>医疗救助，</w:t>
            </w:r>
            <w:r>
              <w:rPr>
                <w:rFonts w:hint="eastAsia" w:ascii="仿宋_GB2312" w:eastAsia="仿宋_GB2312"/>
                <w:sz w:val="24"/>
                <w:szCs w:val="24"/>
                <w:lang w:eastAsia="zh-CN"/>
              </w:rPr>
              <w:t>得</w:t>
            </w:r>
            <w:r>
              <w:rPr>
                <w:rFonts w:hint="eastAsia" w:ascii="仿宋_GB2312" w:eastAsia="仿宋_GB2312"/>
                <w:sz w:val="24"/>
                <w:szCs w:val="24"/>
              </w:rPr>
              <w:t>1分。</w:t>
            </w:r>
          </w:p>
          <w:p>
            <w:pPr>
              <w:adjustRightInd w:val="0"/>
              <w:snapToGrid w:val="0"/>
              <w:spacing w:beforeLines="0" w:afterLines="0" w:line="300" w:lineRule="exact"/>
              <w:rPr>
                <w:rFonts w:ascii="仿宋_GB2312" w:eastAsia="仿宋_GB2312"/>
                <w:sz w:val="24"/>
                <w:szCs w:val="24"/>
              </w:rPr>
            </w:pPr>
            <w:r>
              <w:rPr>
                <w:rFonts w:hint="eastAsia" w:ascii="仿宋_GB2312" w:eastAsia="仿宋_GB2312"/>
                <w:sz w:val="24"/>
                <w:szCs w:val="24"/>
              </w:rPr>
              <w:t>（3）通过向社会力量购买服务的方式，为慢性病患者提供健康管理服务，</w:t>
            </w:r>
            <w:r>
              <w:rPr>
                <w:rFonts w:hint="eastAsia" w:ascii="仿宋_GB2312" w:eastAsia="仿宋_GB2312"/>
                <w:sz w:val="24"/>
                <w:szCs w:val="24"/>
                <w:lang w:eastAsia="zh-CN"/>
              </w:rPr>
              <w:t>得</w:t>
            </w:r>
            <w:r>
              <w:rPr>
                <w:rFonts w:hint="eastAsia" w:ascii="仿宋_GB2312" w:eastAsia="仿宋_GB2312"/>
                <w:sz w:val="24"/>
                <w:szCs w:val="24"/>
              </w:rPr>
              <w:t>2分。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查阅资料。</w:t>
            </w:r>
          </w:p>
          <w:p>
            <w:pPr>
              <w:widowControl/>
              <w:rPr>
                <w:rFonts w:ascii="仿宋_GB2312" w:eastAsia="仿宋_GB2312" w:cs="宋体"/>
                <w:kern w:val="0"/>
                <w:sz w:val="24"/>
                <w:szCs w:val="24"/>
              </w:rPr>
            </w:pPr>
            <w:r>
              <w:rPr>
                <w:rFonts w:hint="eastAsia" w:ascii="仿宋_GB2312"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2.促进慢性病全程防治管理服务与居家养老、社区养老和机构养老服务融合。</w:t>
            </w:r>
          </w:p>
        </w:tc>
        <w:tc>
          <w:tcPr>
            <w:tcW w:w="6197" w:type="dxa"/>
            <w:vAlign w:val="top"/>
          </w:tcPr>
          <w:p>
            <w:pPr>
              <w:rPr>
                <w:rFonts w:ascii="仿宋_GB2312" w:eastAsia="仿宋_GB2312"/>
                <w:sz w:val="24"/>
                <w:szCs w:val="24"/>
              </w:rPr>
            </w:pPr>
            <w:r>
              <w:rPr>
                <w:rFonts w:hint="eastAsia" w:ascii="仿宋_GB2312" w:eastAsia="仿宋_GB2312"/>
                <w:sz w:val="24"/>
                <w:szCs w:val="24"/>
              </w:rPr>
              <w:t>（1）医疗机构向居家养老、社区养老与机构养老的老年人提供医养结合的健康养老服务</w:t>
            </w:r>
            <w:r>
              <w:rPr>
                <w:rFonts w:ascii="仿宋_GB2312" w:eastAsia="仿宋_GB2312"/>
                <w:sz w:val="24"/>
                <w:szCs w:val="24"/>
              </w:rPr>
              <w:t>覆盖比例</w:t>
            </w:r>
            <w:r>
              <w:rPr>
                <w:rFonts w:hint="eastAsia" w:ascii="仿宋_GB2312" w:eastAsia="仿宋_GB2312"/>
                <w:sz w:val="24"/>
                <w:szCs w:val="24"/>
              </w:rPr>
              <w:t>≥80%</w:t>
            </w:r>
            <w:r>
              <w:rPr>
                <w:rFonts w:ascii="仿宋_GB2312" w:eastAsia="仿宋_GB2312"/>
                <w:sz w:val="24"/>
                <w:szCs w:val="24"/>
              </w:rPr>
              <w:t>,</w:t>
            </w:r>
            <w:r>
              <w:rPr>
                <w:rFonts w:hint="eastAsia" w:ascii="仿宋_GB2312" w:eastAsia="仿宋_GB2312"/>
                <w:sz w:val="24"/>
                <w:szCs w:val="24"/>
                <w:lang w:eastAsia="zh-CN"/>
              </w:rPr>
              <w:t>得</w:t>
            </w:r>
            <w:r>
              <w:rPr>
                <w:rFonts w:hint="eastAsia" w:ascii="仿宋_GB2312" w:eastAsia="仿宋_GB2312"/>
                <w:sz w:val="24"/>
                <w:szCs w:val="24"/>
              </w:rPr>
              <w:t>2分；60-70%，</w:t>
            </w:r>
            <w:r>
              <w:rPr>
                <w:rFonts w:hint="eastAsia" w:ascii="仿宋_GB2312" w:eastAsia="仿宋_GB2312"/>
                <w:sz w:val="24"/>
                <w:szCs w:val="24"/>
                <w:lang w:eastAsia="zh-CN"/>
              </w:rPr>
              <w:t>得</w:t>
            </w:r>
            <w:r>
              <w:rPr>
                <w:rFonts w:hint="eastAsia" w:ascii="仿宋_GB2312" w:eastAsia="仿宋_GB2312"/>
                <w:sz w:val="24"/>
                <w:szCs w:val="24"/>
              </w:rPr>
              <w:t>1</w:t>
            </w:r>
            <w:r>
              <w:rPr>
                <w:rFonts w:ascii="仿宋_GB2312" w:eastAsia="仿宋_GB2312"/>
                <w:sz w:val="24"/>
                <w:szCs w:val="24"/>
              </w:rPr>
              <w:t>分</w:t>
            </w:r>
            <w:r>
              <w:rPr>
                <w:rFonts w:hint="eastAsia" w:ascii="仿宋_GB2312" w:eastAsia="仿宋_GB2312"/>
                <w:sz w:val="24"/>
                <w:szCs w:val="24"/>
              </w:rPr>
              <w:t>；</w:t>
            </w:r>
            <w:r>
              <w:rPr>
                <w:rFonts w:ascii="仿宋_GB2312" w:eastAsia="仿宋_GB2312"/>
                <w:sz w:val="24"/>
                <w:szCs w:val="24"/>
              </w:rPr>
              <w:t>低于</w:t>
            </w:r>
            <w:r>
              <w:rPr>
                <w:rFonts w:hint="eastAsia" w:ascii="仿宋_GB2312" w:eastAsia="仿宋_GB2312"/>
                <w:sz w:val="24"/>
                <w:szCs w:val="24"/>
              </w:rPr>
              <w:t>60%</w:t>
            </w:r>
            <w:r>
              <w:rPr>
                <w:rFonts w:ascii="仿宋_GB2312" w:eastAsia="仿宋_GB2312"/>
                <w:sz w:val="24"/>
                <w:szCs w:val="24"/>
              </w:rPr>
              <w:t>不得分。</w:t>
            </w:r>
          </w:p>
          <w:p>
            <w:pPr>
              <w:rPr>
                <w:rFonts w:ascii="仿宋_GB2312" w:eastAsia="仿宋_GB2312"/>
                <w:sz w:val="24"/>
                <w:szCs w:val="24"/>
              </w:rPr>
            </w:pPr>
            <w:r>
              <w:rPr>
                <w:rFonts w:hint="eastAsia" w:ascii="仿宋_GB2312" w:eastAsia="仿宋_GB2312"/>
                <w:sz w:val="24"/>
                <w:szCs w:val="24"/>
              </w:rPr>
              <w:t>（2）具有医养结合机构的街道/乡镇覆盖率≥10%，</w:t>
            </w:r>
            <w:r>
              <w:rPr>
                <w:rFonts w:hint="eastAsia" w:ascii="仿宋_GB2312" w:eastAsia="仿宋_GB2312"/>
                <w:sz w:val="24"/>
                <w:szCs w:val="24"/>
                <w:lang w:eastAsia="zh-CN"/>
              </w:rPr>
              <w:t>得</w:t>
            </w:r>
            <w:r>
              <w:rPr>
                <w:rFonts w:hint="eastAsia" w:ascii="仿宋_GB2312" w:eastAsia="仿宋_GB2312"/>
                <w:sz w:val="24"/>
                <w:szCs w:val="24"/>
              </w:rPr>
              <w:t xml:space="preserve">1分。 </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w:t>
            </w:r>
          </w:p>
        </w:tc>
        <w:tc>
          <w:tcPr>
            <w:tcW w:w="2289" w:type="dxa"/>
            <w:vAlign w:val="top"/>
          </w:tcPr>
          <w:p>
            <w:pPr>
              <w:widowControl/>
              <w:adjustRightInd w:val="0"/>
              <w:snapToGrid w:val="0"/>
              <w:spacing w:beforeLines="0" w:afterLines="0" w:line="260" w:lineRule="exact"/>
              <w:rPr>
                <w:rFonts w:ascii="仿宋_GB2312" w:eastAsia="仿宋_GB2312" w:cs="宋体"/>
                <w:kern w:val="0"/>
                <w:sz w:val="24"/>
                <w:szCs w:val="24"/>
              </w:rPr>
            </w:pPr>
            <w:r>
              <w:rPr>
                <w:rFonts w:hint="eastAsia" w:ascii="仿宋_GB2312" w:eastAsia="仿宋_GB2312" w:cs="宋体"/>
                <w:kern w:val="0"/>
                <w:sz w:val="24"/>
                <w:szCs w:val="24"/>
              </w:rPr>
              <w:t>查阅资料。提供辖区内医疗机构的数量及资料来源，以及其中提供健康养老服务的名单。随机抽取部门医疗机构进行情况复核。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883" w:type="dxa"/>
            <w:vMerge w:val="restart"/>
            <w:vAlign w:val="center"/>
          </w:tcPr>
          <w:p>
            <w:pPr>
              <w:jc w:val="center"/>
              <w:rPr>
                <w:rFonts w:ascii="仿宋_GB2312" w:eastAsia="仿宋_GB2312"/>
                <w:sz w:val="28"/>
                <w:szCs w:val="28"/>
              </w:rPr>
            </w:pPr>
            <w:r>
              <w:rPr>
                <w:rFonts w:hint="eastAsia" w:ascii="仿宋_GB2312" w:eastAsia="仿宋_GB2312"/>
                <w:sz w:val="28"/>
                <w:szCs w:val="28"/>
              </w:rPr>
              <w:t>六、监测评估（30分）</w:t>
            </w:r>
          </w:p>
        </w:tc>
        <w:tc>
          <w:tcPr>
            <w:tcW w:w="1975" w:type="dxa"/>
            <w:vMerge w:val="restart"/>
            <w:vAlign w:val="center"/>
          </w:tcPr>
          <w:p>
            <w:pPr>
              <w:jc w:val="left"/>
              <w:rPr>
                <w:rFonts w:ascii="仿宋_GB2312" w:eastAsia="仿宋_GB2312"/>
                <w:sz w:val="28"/>
                <w:szCs w:val="28"/>
              </w:rPr>
            </w:pPr>
            <w:r>
              <w:rPr>
                <w:rFonts w:hint="eastAsia" w:ascii="仿宋_GB2312" w:eastAsia="仿宋_GB2312"/>
                <w:sz w:val="28"/>
                <w:szCs w:val="28"/>
              </w:rPr>
              <w:t>（一）开展过程质量控制和重点慢性病监测工作。</w:t>
            </w:r>
          </w:p>
          <w:p>
            <w:pPr>
              <w:jc w:val="left"/>
              <w:rPr>
                <w:rFonts w:ascii="仿宋_GB2312" w:eastAsia="仿宋_GB2312"/>
                <w:sz w:val="28"/>
                <w:szCs w:val="28"/>
              </w:rPr>
            </w:pPr>
            <w:r>
              <w:rPr>
                <w:rFonts w:hint="eastAsia" w:ascii="仿宋_GB2312" w:eastAsia="仿宋_GB2312"/>
                <w:sz w:val="28"/>
                <w:szCs w:val="28"/>
              </w:rPr>
              <w:t>（15分）</w:t>
            </w: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1.规范开展覆盖辖区慢性病及相关危险因素监测，掌握辖区重点慢性病状况、影响因素和疾病负担。</w:t>
            </w:r>
          </w:p>
        </w:tc>
        <w:tc>
          <w:tcPr>
            <w:tcW w:w="6197" w:type="dxa"/>
            <w:vAlign w:val="center"/>
          </w:tcPr>
          <w:p>
            <w:pPr>
              <w:adjustRightInd w:val="0"/>
              <w:snapToGrid w:val="0"/>
              <w:spacing w:beforeLines="0" w:afterLines="0" w:line="300" w:lineRule="exact"/>
              <w:rPr>
                <w:rFonts w:ascii="仿宋_GB2312" w:eastAsia="仿宋_GB2312"/>
                <w:sz w:val="24"/>
                <w:szCs w:val="24"/>
              </w:rPr>
            </w:pPr>
            <w:r>
              <w:rPr>
                <w:rFonts w:hint="eastAsia" w:ascii="仿宋_GB2312" w:eastAsia="仿宋_GB2312"/>
                <w:sz w:val="24"/>
                <w:szCs w:val="24"/>
              </w:rPr>
              <w:t>全人群的死因监测、慢病与营养监测、心脑血管疾病、肿瘤、慢阻肺等重大慢性病登记报告达到基本技术指标，完成报告。</w:t>
            </w:r>
          </w:p>
          <w:p>
            <w:pPr>
              <w:adjustRightInd w:val="0"/>
              <w:snapToGrid w:val="0"/>
              <w:spacing w:beforeLines="0" w:afterLines="0" w:line="300" w:lineRule="exact"/>
              <w:rPr>
                <w:rFonts w:ascii="仿宋_GB2312" w:eastAsia="仿宋_GB2312"/>
                <w:sz w:val="24"/>
                <w:szCs w:val="24"/>
              </w:rPr>
            </w:pPr>
            <w:r>
              <w:rPr>
                <w:rFonts w:hint="eastAsia" w:ascii="仿宋_GB2312" w:eastAsia="仿宋_GB2312"/>
                <w:sz w:val="24"/>
                <w:szCs w:val="24"/>
              </w:rPr>
              <w:t>（1）死因监测，</w:t>
            </w:r>
            <w:r>
              <w:rPr>
                <w:rFonts w:hint="eastAsia" w:ascii="仿宋_GB2312" w:eastAsia="仿宋_GB2312"/>
                <w:sz w:val="24"/>
                <w:szCs w:val="24"/>
                <w:lang w:eastAsia="zh-CN"/>
              </w:rPr>
              <w:t>得</w:t>
            </w:r>
            <w:r>
              <w:rPr>
                <w:rFonts w:hint="eastAsia" w:ascii="仿宋_GB2312" w:eastAsia="仿宋_GB2312"/>
                <w:sz w:val="24"/>
                <w:szCs w:val="24"/>
              </w:rPr>
              <w:t>2分；</w:t>
            </w:r>
          </w:p>
          <w:p>
            <w:pPr>
              <w:adjustRightInd w:val="0"/>
              <w:snapToGrid w:val="0"/>
              <w:spacing w:beforeLines="0" w:afterLines="0" w:line="300" w:lineRule="exact"/>
              <w:rPr>
                <w:rFonts w:ascii="仿宋_GB2312" w:eastAsia="仿宋_GB2312"/>
                <w:sz w:val="24"/>
                <w:szCs w:val="24"/>
              </w:rPr>
            </w:pPr>
            <w:r>
              <w:rPr>
                <w:rFonts w:hint="eastAsia" w:ascii="仿宋_GB2312" w:eastAsia="仿宋_GB2312"/>
                <w:sz w:val="24"/>
                <w:szCs w:val="24"/>
              </w:rPr>
              <w:t>（2）每5年1次慢病与营养监测，</w:t>
            </w:r>
            <w:r>
              <w:rPr>
                <w:rFonts w:hint="eastAsia" w:ascii="仿宋_GB2312" w:eastAsia="仿宋_GB2312"/>
                <w:sz w:val="24"/>
                <w:szCs w:val="24"/>
                <w:lang w:eastAsia="zh-CN"/>
              </w:rPr>
              <w:t>得</w:t>
            </w:r>
            <w:r>
              <w:rPr>
                <w:rFonts w:hint="eastAsia" w:ascii="仿宋_GB2312" w:eastAsia="仿宋_GB2312"/>
                <w:sz w:val="24"/>
                <w:szCs w:val="24"/>
              </w:rPr>
              <w:t>2分；</w:t>
            </w:r>
            <w:r>
              <w:rPr>
                <w:rFonts w:hint="eastAsia" w:ascii="仿宋_GB2312" w:eastAsia="仿宋_GB2312"/>
                <w:sz w:val="24"/>
                <w:szCs w:val="24"/>
              </w:rPr>
              <w:br w:type="textWrapping"/>
            </w:r>
            <w:r>
              <w:rPr>
                <w:rFonts w:hint="eastAsia" w:ascii="仿宋_GB2312" w:eastAsia="仿宋_GB2312"/>
                <w:sz w:val="24"/>
                <w:szCs w:val="24"/>
              </w:rPr>
              <w:t>（3）心脑血管疾病报告，</w:t>
            </w:r>
            <w:r>
              <w:rPr>
                <w:rFonts w:hint="eastAsia" w:ascii="仿宋_GB2312" w:eastAsia="仿宋_GB2312"/>
                <w:sz w:val="24"/>
                <w:szCs w:val="24"/>
                <w:lang w:eastAsia="zh-CN"/>
              </w:rPr>
              <w:t>得</w:t>
            </w:r>
            <w:r>
              <w:rPr>
                <w:rFonts w:hint="eastAsia" w:ascii="仿宋_GB2312" w:eastAsia="仿宋_GB2312"/>
                <w:sz w:val="24"/>
                <w:szCs w:val="24"/>
              </w:rPr>
              <w:t>2分；</w:t>
            </w:r>
            <w:r>
              <w:rPr>
                <w:rFonts w:hint="eastAsia" w:ascii="仿宋_GB2312" w:eastAsia="仿宋_GB2312"/>
                <w:sz w:val="24"/>
                <w:szCs w:val="24"/>
              </w:rPr>
              <w:br w:type="textWrapping"/>
            </w:r>
            <w:r>
              <w:rPr>
                <w:rFonts w:hint="eastAsia" w:ascii="仿宋_GB2312" w:eastAsia="仿宋_GB2312"/>
                <w:sz w:val="24"/>
                <w:szCs w:val="24"/>
              </w:rPr>
              <w:t>（4）肿瘤随访登记，</w:t>
            </w:r>
            <w:r>
              <w:rPr>
                <w:rFonts w:hint="eastAsia" w:ascii="仿宋_GB2312" w:eastAsia="仿宋_GB2312"/>
                <w:sz w:val="24"/>
                <w:szCs w:val="24"/>
                <w:lang w:eastAsia="zh-CN"/>
              </w:rPr>
              <w:t>得</w:t>
            </w:r>
            <w:r>
              <w:rPr>
                <w:rFonts w:hint="eastAsia" w:ascii="仿宋_GB2312" w:eastAsia="仿宋_GB2312"/>
                <w:sz w:val="24"/>
                <w:szCs w:val="24"/>
              </w:rPr>
              <w:t>2分；</w:t>
            </w:r>
            <w:r>
              <w:rPr>
                <w:rFonts w:hint="eastAsia" w:ascii="仿宋_GB2312" w:eastAsia="仿宋_GB2312"/>
                <w:sz w:val="24"/>
                <w:szCs w:val="24"/>
              </w:rPr>
              <w:br w:type="textWrapping"/>
            </w:r>
            <w:r>
              <w:rPr>
                <w:rFonts w:hint="eastAsia" w:ascii="仿宋_GB2312" w:eastAsia="仿宋_GB2312"/>
                <w:sz w:val="24"/>
                <w:szCs w:val="24"/>
              </w:rPr>
              <w:t>（5）慢阻肺监测，</w:t>
            </w:r>
            <w:r>
              <w:rPr>
                <w:rFonts w:hint="eastAsia" w:ascii="仿宋_GB2312" w:eastAsia="仿宋_GB2312"/>
                <w:sz w:val="24"/>
                <w:szCs w:val="24"/>
                <w:lang w:eastAsia="zh-CN"/>
              </w:rPr>
              <w:t>得</w:t>
            </w:r>
            <w:r>
              <w:rPr>
                <w:rFonts w:hint="eastAsia" w:ascii="仿宋_GB2312" w:eastAsia="仿宋_GB2312"/>
                <w:sz w:val="24"/>
                <w:szCs w:val="24"/>
              </w:rPr>
              <w:t>2分。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10</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查阅相关文件、监测方案、调查表、数据库及监测报告考核监测工作的开展情况。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2.慢性病监测数据互联互通。</w:t>
            </w:r>
          </w:p>
        </w:tc>
        <w:tc>
          <w:tcPr>
            <w:tcW w:w="6197" w:type="dxa"/>
            <w:vAlign w:val="top"/>
          </w:tcPr>
          <w:p>
            <w:pPr>
              <w:rPr>
                <w:rFonts w:ascii="仿宋_GB2312" w:eastAsia="仿宋_GB2312"/>
                <w:sz w:val="24"/>
                <w:szCs w:val="24"/>
              </w:rPr>
            </w:pPr>
            <w:r>
              <w:rPr>
                <w:rFonts w:hint="eastAsia" w:ascii="仿宋_GB2312" w:eastAsia="仿宋_GB2312"/>
                <w:sz w:val="24"/>
                <w:szCs w:val="24"/>
              </w:rPr>
              <w:t>利用省、地市、县三级人口健康信息和疾病预防控制信息管理系统，实现重点慢性病监测数据互联互通，</w:t>
            </w:r>
            <w:r>
              <w:rPr>
                <w:rFonts w:hint="eastAsia" w:ascii="仿宋_GB2312" w:eastAsia="仿宋_GB2312"/>
                <w:sz w:val="24"/>
                <w:szCs w:val="24"/>
                <w:lang w:eastAsia="zh-CN"/>
              </w:rPr>
              <w:t>得</w:t>
            </w:r>
            <w:r>
              <w:rPr>
                <w:rFonts w:hint="eastAsia" w:ascii="仿宋_GB2312" w:eastAsia="仿宋_GB2312"/>
                <w:sz w:val="24"/>
                <w:szCs w:val="24"/>
              </w:rPr>
              <w:t>5分。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5</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现场督导、查阅信息管理系统，考核工作记录，进行评估。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trPr>
        <w:tc>
          <w:tcPr>
            <w:tcW w:w="883" w:type="dxa"/>
            <w:vMerge w:val="continue"/>
            <w:vAlign w:val="center"/>
          </w:tcPr>
          <w:p>
            <w:pPr>
              <w:jc w:val="center"/>
              <w:rPr>
                <w:rFonts w:ascii="仿宋_GB2312" w:eastAsia="仿宋_GB2312"/>
                <w:sz w:val="28"/>
                <w:szCs w:val="28"/>
              </w:rPr>
            </w:pPr>
          </w:p>
        </w:tc>
        <w:tc>
          <w:tcPr>
            <w:tcW w:w="1975" w:type="dxa"/>
            <w:vMerge w:val="restart"/>
            <w:vAlign w:val="center"/>
          </w:tcPr>
          <w:p>
            <w:pPr>
              <w:adjustRightInd w:val="0"/>
              <w:snapToGrid w:val="0"/>
              <w:spacing w:beforeLines="0" w:afterLines="0" w:line="300" w:lineRule="exact"/>
              <w:jc w:val="left"/>
              <w:rPr>
                <w:rFonts w:ascii="仿宋_GB2312" w:eastAsia="仿宋_GB2312"/>
                <w:sz w:val="28"/>
                <w:szCs w:val="28"/>
              </w:rPr>
            </w:pPr>
            <w:r>
              <w:rPr>
                <w:rFonts w:hint="eastAsia" w:ascii="仿宋_GB2312" w:eastAsia="仿宋_GB2312"/>
                <w:sz w:val="28"/>
                <w:szCs w:val="28"/>
              </w:rPr>
              <w:t>（二）开展慢性病防控社会因素调查，定期发布调查结果。</w:t>
            </w:r>
          </w:p>
          <w:p>
            <w:pPr>
              <w:adjustRightInd w:val="0"/>
              <w:snapToGrid w:val="0"/>
              <w:spacing w:beforeLines="0" w:afterLines="0" w:line="300" w:lineRule="exact"/>
              <w:jc w:val="left"/>
              <w:rPr>
                <w:rFonts w:ascii="仿宋_GB2312" w:eastAsia="仿宋_GB2312"/>
                <w:sz w:val="28"/>
                <w:szCs w:val="28"/>
              </w:rPr>
            </w:pPr>
            <w:r>
              <w:rPr>
                <w:rFonts w:hint="eastAsia" w:ascii="仿宋_GB2312" w:eastAsia="仿宋_GB2312"/>
                <w:sz w:val="28"/>
                <w:szCs w:val="28"/>
              </w:rPr>
              <w:t>（15分）</w:t>
            </w: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1. 辖区每5年开展一次慢性病防控社会因素调查。</w:t>
            </w:r>
            <w:r>
              <w:rPr>
                <w:rFonts w:hint="eastAsia" w:ascii="仿宋_GB2312" w:eastAsia="仿宋_GB2312" w:cs="宋体"/>
                <w:kern w:val="0"/>
                <w:sz w:val="24"/>
                <w:szCs w:val="24"/>
              </w:rPr>
              <w:br w:type="textWrapping"/>
            </w:r>
          </w:p>
        </w:tc>
        <w:tc>
          <w:tcPr>
            <w:tcW w:w="6197" w:type="dxa"/>
            <w:vAlign w:val="top"/>
          </w:tcPr>
          <w:p>
            <w:pPr>
              <w:adjustRightInd w:val="0"/>
              <w:snapToGrid w:val="0"/>
              <w:spacing w:beforeLines="0" w:afterLines="0" w:line="260" w:lineRule="exact"/>
              <w:rPr>
                <w:rFonts w:ascii="仿宋_GB2312" w:eastAsia="仿宋_GB2312"/>
                <w:sz w:val="24"/>
                <w:szCs w:val="24"/>
              </w:rPr>
            </w:pPr>
            <w:r>
              <w:rPr>
                <w:rFonts w:hint="eastAsia" w:ascii="仿宋_GB2312" w:eastAsia="仿宋_GB2312"/>
                <w:sz w:val="24"/>
                <w:szCs w:val="24"/>
              </w:rPr>
              <w:t>（1）综合运用社会学、流行病学及管理学理论与方法开展社会因素调查，完成调查报告，</w:t>
            </w:r>
            <w:r>
              <w:rPr>
                <w:rFonts w:hint="eastAsia" w:ascii="仿宋_GB2312" w:eastAsia="仿宋_GB2312"/>
                <w:sz w:val="24"/>
                <w:szCs w:val="24"/>
                <w:lang w:eastAsia="zh-CN"/>
              </w:rPr>
              <w:t>得</w:t>
            </w:r>
            <w:r>
              <w:rPr>
                <w:rFonts w:hint="eastAsia" w:ascii="仿宋_GB2312" w:eastAsia="仿宋_GB2312"/>
                <w:sz w:val="24"/>
                <w:szCs w:val="24"/>
              </w:rPr>
              <w:t>3分。</w:t>
            </w:r>
          </w:p>
          <w:p>
            <w:pPr>
              <w:adjustRightInd w:val="0"/>
              <w:snapToGrid w:val="0"/>
              <w:spacing w:beforeLines="0" w:afterLines="0" w:line="260" w:lineRule="exact"/>
              <w:rPr>
                <w:rFonts w:ascii="仿宋_GB2312" w:eastAsia="仿宋_GB2312"/>
                <w:sz w:val="24"/>
                <w:szCs w:val="24"/>
              </w:rPr>
            </w:pPr>
            <w:r>
              <w:rPr>
                <w:rFonts w:hint="eastAsia" w:ascii="仿宋_GB2312" w:eastAsia="仿宋_GB2312"/>
                <w:sz w:val="24"/>
                <w:szCs w:val="24"/>
              </w:rPr>
              <w:t>（2）报告信息来源权威、准确、多元、综合，报告结构完整，有背景、方法、现状与主要问题、资源分析、预期目标、主要对策与具体措施等内容，</w:t>
            </w:r>
            <w:r>
              <w:rPr>
                <w:rFonts w:hint="eastAsia" w:ascii="仿宋_GB2312" w:eastAsia="仿宋_GB2312"/>
                <w:sz w:val="24"/>
                <w:szCs w:val="24"/>
                <w:lang w:eastAsia="zh-CN"/>
              </w:rPr>
              <w:t>得</w:t>
            </w:r>
            <w:r>
              <w:rPr>
                <w:rFonts w:hint="eastAsia" w:ascii="仿宋_GB2312" w:eastAsia="仿宋_GB2312"/>
                <w:sz w:val="24"/>
                <w:szCs w:val="24"/>
              </w:rPr>
              <w:t>2分。</w:t>
            </w:r>
          </w:p>
          <w:p>
            <w:pPr>
              <w:adjustRightInd w:val="0"/>
              <w:snapToGrid w:val="0"/>
              <w:spacing w:beforeLines="0" w:afterLines="0" w:line="260" w:lineRule="exact"/>
              <w:rPr>
                <w:rFonts w:ascii="仿宋_GB2312" w:eastAsia="仿宋_GB2312"/>
                <w:sz w:val="24"/>
                <w:szCs w:val="24"/>
              </w:rPr>
            </w:pPr>
            <w:r>
              <w:rPr>
                <w:rFonts w:hint="eastAsia" w:ascii="仿宋_GB2312" w:eastAsia="仿宋_GB2312"/>
                <w:sz w:val="24"/>
                <w:szCs w:val="24"/>
              </w:rPr>
              <w:t>（3）报告调查结果清晰、调查依据正确、对策合乎逻辑、目标设定科学、措施设计得当，</w:t>
            </w:r>
            <w:r>
              <w:rPr>
                <w:rFonts w:hint="eastAsia" w:ascii="仿宋_GB2312" w:eastAsia="仿宋_GB2312"/>
                <w:sz w:val="24"/>
                <w:szCs w:val="24"/>
                <w:lang w:eastAsia="zh-CN"/>
              </w:rPr>
              <w:t>得</w:t>
            </w:r>
            <w:r>
              <w:rPr>
                <w:rFonts w:hint="eastAsia" w:ascii="仿宋_GB2312" w:eastAsia="仿宋_GB2312"/>
                <w:sz w:val="24"/>
                <w:szCs w:val="24"/>
              </w:rPr>
              <w:t>2分。</w:t>
            </w:r>
            <w:r>
              <w:rPr>
                <w:rFonts w:hint="eastAsia" w:ascii="仿宋_GB2312" w:eastAsia="仿宋_GB2312"/>
                <w:sz w:val="24"/>
                <w:szCs w:val="24"/>
              </w:rPr>
              <w:br w:type="textWrapping"/>
            </w:r>
            <w:r>
              <w:rPr>
                <w:rFonts w:hint="eastAsia" w:ascii="仿宋_GB2312" w:eastAsia="仿宋_GB2312"/>
                <w:sz w:val="24"/>
                <w:szCs w:val="24"/>
              </w:rPr>
              <w:t>（4）报告结果用于指引、评估示范区建设及慢性病综合防控工作计划的制定，</w:t>
            </w:r>
            <w:r>
              <w:rPr>
                <w:rFonts w:hint="eastAsia" w:ascii="仿宋_GB2312" w:eastAsia="仿宋_GB2312"/>
                <w:sz w:val="24"/>
                <w:szCs w:val="24"/>
                <w:lang w:eastAsia="zh-CN"/>
              </w:rPr>
              <w:t>得</w:t>
            </w:r>
            <w:r>
              <w:rPr>
                <w:rFonts w:hint="eastAsia" w:ascii="仿宋_GB2312" w:eastAsia="仿宋_GB2312"/>
                <w:sz w:val="24"/>
                <w:szCs w:val="24"/>
              </w:rPr>
              <w:t>2分。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9</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查阅相关记录：开展社会因素调查的文件通知、会议记录、工作计划、实施方案、工作记录、进展报告、数据来源、原始调查表、数据库等。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continue"/>
            <w:vAlign w:val="center"/>
          </w:tcPr>
          <w:p>
            <w:pPr>
              <w:jc w:val="center"/>
              <w:rPr>
                <w:rFonts w:ascii="仿宋_GB2312" w:eastAsia="仿宋_GB2312"/>
                <w:sz w:val="28"/>
                <w:szCs w:val="28"/>
              </w:rPr>
            </w:pPr>
          </w:p>
        </w:tc>
        <w:tc>
          <w:tcPr>
            <w:tcW w:w="1975" w:type="dxa"/>
            <w:vMerge w:val="continue"/>
            <w:vAlign w:val="center"/>
          </w:tcPr>
          <w:p>
            <w:pPr>
              <w:jc w:val="left"/>
              <w:rPr>
                <w:rFonts w:ascii="仿宋_GB2312" w:eastAsia="仿宋_GB2312"/>
                <w:sz w:val="28"/>
                <w:szCs w:val="28"/>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2.辖区政府发布人群慢性病防控有关健康信息。</w:t>
            </w:r>
          </w:p>
        </w:tc>
        <w:tc>
          <w:tcPr>
            <w:tcW w:w="6197" w:type="dxa"/>
            <w:vAlign w:val="top"/>
          </w:tcPr>
          <w:p>
            <w:pPr>
              <w:rPr>
                <w:rFonts w:ascii="仿宋_GB2312" w:eastAsia="仿宋_GB2312"/>
                <w:sz w:val="24"/>
                <w:szCs w:val="24"/>
              </w:rPr>
            </w:pPr>
            <w:r>
              <w:rPr>
                <w:rFonts w:hint="eastAsia" w:ascii="仿宋_GB2312" w:eastAsia="仿宋_GB2312"/>
                <w:sz w:val="24"/>
                <w:szCs w:val="24"/>
              </w:rPr>
              <w:t>（1）辖区政府每5年发布含慢性病防控内容的综合健康报告，</w:t>
            </w:r>
            <w:r>
              <w:rPr>
                <w:rFonts w:hint="eastAsia" w:ascii="仿宋_GB2312" w:eastAsia="仿宋_GB2312"/>
                <w:sz w:val="24"/>
                <w:szCs w:val="24"/>
                <w:lang w:eastAsia="zh-CN"/>
              </w:rPr>
              <w:t>得</w:t>
            </w:r>
            <w:r>
              <w:rPr>
                <w:rFonts w:hint="eastAsia" w:ascii="仿宋_GB2312" w:eastAsia="仿宋_GB2312"/>
                <w:sz w:val="24"/>
                <w:szCs w:val="24"/>
              </w:rPr>
              <w:t>3分。</w:t>
            </w:r>
          </w:p>
          <w:p>
            <w:pPr>
              <w:rPr>
                <w:rFonts w:ascii="仿宋_GB2312" w:eastAsia="仿宋_GB2312"/>
                <w:sz w:val="24"/>
                <w:szCs w:val="24"/>
              </w:rPr>
            </w:pPr>
            <w:r>
              <w:rPr>
                <w:rFonts w:hint="eastAsia" w:ascii="仿宋_GB2312" w:eastAsia="仿宋_GB2312"/>
                <w:sz w:val="24"/>
                <w:szCs w:val="24"/>
              </w:rPr>
              <w:t>（2）综合健康报告主要结果用于政府工作报告，</w:t>
            </w:r>
            <w:r>
              <w:rPr>
                <w:rFonts w:hint="eastAsia" w:ascii="仿宋_GB2312" w:eastAsia="仿宋_GB2312"/>
                <w:sz w:val="24"/>
                <w:szCs w:val="24"/>
                <w:lang w:eastAsia="zh-CN"/>
              </w:rPr>
              <w:t>得</w:t>
            </w:r>
            <w:r>
              <w:rPr>
                <w:rFonts w:hint="eastAsia" w:ascii="仿宋_GB2312" w:eastAsia="仿宋_GB2312"/>
                <w:sz w:val="24"/>
                <w:szCs w:val="24"/>
              </w:rPr>
              <w:t>3分。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6</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查阅发布的综合健康/工作报告。</w:t>
            </w:r>
          </w:p>
          <w:p>
            <w:pPr>
              <w:widowControl/>
              <w:rPr>
                <w:rFonts w:ascii="仿宋_GB2312" w:eastAsia="仿宋_GB2312" w:cs="宋体"/>
                <w:kern w:val="0"/>
                <w:sz w:val="24"/>
                <w:szCs w:val="24"/>
              </w:rPr>
            </w:pPr>
            <w:r>
              <w:rPr>
                <w:rFonts w:hint="eastAsia" w:ascii="仿宋_GB2312"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883" w:type="dxa"/>
            <w:vMerge w:val="restart"/>
            <w:vAlign w:val="center"/>
          </w:tcPr>
          <w:p>
            <w:pPr>
              <w:jc w:val="center"/>
              <w:rPr>
                <w:rFonts w:ascii="仿宋_GB2312" w:eastAsia="仿宋_GB2312"/>
                <w:sz w:val="28"/>
                <w:szCs w:val="28"/>
              </w:rPr>
            </w:pPr>
            <w:r>
              <w:rPr>
                <w:rFonts w:hint="eastAsia" w:ascii="仿宋_GB2312" w:eastAsia="仿宋_GB2312"/>
                <w:sz w:val="28"/>
                <w:szCs w:val="28"/>
              </w:rPr>
              <w:t>七、创新引领（30分）</w:t>
            </w:r>
          </w:p>
        </w:tc>
        <w:tc>
          <w:tcPr>
            <w:tcW w:w="1975" w:type="dxa"/>
            <w:vMerge w:val="restart"/>
            <w:vAlign w:val="center"/>
          </w:tcPr>
          <w:p>
            <w:pPr>
              <w:jc w:val="left"/>
              <w:rPr>
                <w:rFonts w:ascii="仿宋_GB2312" w:eastAsia="仿宋_GB2312"/>
                <w:sz w:val="28"/>
                <w:szCs w:val="28"/>
              </w:rPr>
            </w:pPr>
            <w:r>
              <w:rPr>
                <w:rFonts w:hint="eastAsia" w:ascii="仿宋_GB2312" w:eastAsia="仿宋_GB2312"/>
                <w:sz w:val="28"/>
                <w:szCs w:val="28"/>
              </w:rPr>
              <w:t>慢性病综合防控工作有特色、可复制、可推广。（30分）</w:t>
            </w:r>
          </w:p>
        </w:tc>
        <w:tc>
          <w:tcPr>
            <w:tcW w:w="2260" w:type="dxa"/>
            <w:vAlign w:val="top"/>
          </w:tcPr>
          <w:p>
            <w:pPr>
              <w:widowControl/>
              <w:adjustRightInd w:val="0"/>
              <w:snapToGrid w:val="0"/>
              <w:spacing w:beforeLines="0" w:afterLines="0" w:line="280" w:lineRule="exact"/>
              <w:rPr>
                <w:rFonts w:ascii="仿宋_GB2312" w:eastAsia="仿宋_GB2312" w:cs="宋体"/>
                <w:kern w:val="0"/>
                <w:sz w:val="24"/>
                <w:szCs w:val="24"/>
              </w:rPr>
            </w:pPr>
            <w:r>
              <w:rPr>
                <w:rFonts w:hint="eastAsia" w:ascii="仿宋_GB2312" w:eastAsia="仿宋_GB2312" w:cs="宋体"/>
                <w:kern w:val="0"/>
                <w:sz w:val="24"/>
                <w:szCs w:val="24"/>
              </w:rPr>
              <w:t>1.倡导慢性病综合防控工作与当地社会、文化等建设和公共服务、公共产品供给相结合。</w:t>
            </w:r>
          </w:p>
        </w:tc>
        <w:tc>
          <w:tcPr>
            <w:tcW w:w="6197" w:type="dxa"/>
            <w:vAlign w:val="top"/>
          </w:tcPr>
          <w:p>
            <w:pPr>
              <w:rPr>
                <w:rFonts w:ascii="仿宋_GB2312" w:eastAsia="仿宋_GB2312"/>
                <w:sz w:val="24"/>
                <w:szCs w:val="24"/>
              </w:rPr>
            </w:pPr>
            <w:r>
              <w:rPr>
                <w:rFonts w:hint="eastAsia" w:ascii="仿宋_GB2312" w:eastAsia="仿宋_GB2312"/>
                <w:sz w:val="24"/>
                <w:szCs w:val="24"/>
              </w:rPr>
              <w:t>慢性病综合防控工作与辖区社区文化建设、健康城市建设、文明创建、公共服务与公共产品等相关项目有机衔接整合，以达到1+1&gt;2的实际效果。建立协同工作机制并有效衔接达3项，</w:t>
            </w:r>
            <w:r>
              <w:rPr>
                <w:rFonts w:hint="eastAsia" w:ascii="仿宋_GB2312" w:eastAsia="仿宋_GB2312"/>
                <w:sz w:val="24"/>
                <w:szCs w:val="24"/>
                <w:lang w:eastAsia="zh-CN"/>
              </w:rPr>
              <w:t>得</w:t>
            </w:r>
            <w:r>
              <w:rPr>
                <w:rFonts w:hint="eastAsia" w:ascii="仿宋_GB2312" w:eastAsia="仿宋_GB2312"/>
                <w:sz w:val="24"/>
                <w:szCs w:val="24"/>
              </w:rPr>
              <w:t>10分；1-2项，</w:t>
            </w:r>
            <w:r>
              <w:rPr>
                <w:rFonts w:hint="eastAsia" w:ascii="仿宋_GB2312" w:eastAsia="仿宋_GB2312"/>
                <w:sz w:val="24"/>
                <w:szCs w:val="24"/>
                <w:lang w:eastAsia="zh-CN"/>
              </w:rPr>
              <w:t>得</w:t>
            </w:r>
            <w:r>
              <w:rPr>
                <w:rFonts w:hint="eastAsia" w:ascii="仿宋_GB2312" w:eastAsia="仿宋_GB2312"/>
                <w:sz w:val="24"/>
                <w:szCs w:val="24"/>
              </w:rPr>
              <w:t>5分。</w:t>
            </w: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10</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查阅项目计划书与总结报告等资料，现场评估。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continue"/>
            <w:vAlign w:val="center"/>
          </w:tcPr>
          <w:p>
            <w:pPr>
              <w:jc w:val="center"/>
              <w:rPr>
                <w:rFonts w:ascii="宋体" w:cs="宋体"/>
                <w:kern w:val="0"/>
                <w:szCs w:val="21"/>
              </w:rPr>
            </w:pPr>
          </w:p>
        </w:tc>
        <w:tc>
          <w:tcPr>
            <w:tcW w:w="1975" w:type="dxa"/>
            <w:vMerge w:val="continue"/>
            <w:vAlign w:val="center"/>
          </w:tcPr>
          <w:p>
            <w:pPr>
              <w:jc w:val="center"/>
              <w:rPr>
                <w:rFonts w:ascii="宋体" w:cs="宋体"/>
                <w:kern w:val="0"/>
                <w:szCs w:val="21"/>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2.总结有创新、特色案例。</w:t>
            </w:r>
          </w:p>
        </w:tc>
        <w:tc>
          <w:tcPr>
            <w:tcW w:w="6197" w:type="dxa"/>
            <w:vAlign w:val="top"/>
          </w:tcPr>
          <w:p>
            <w:pPr>
              <w:rPr>
                <w:rFonts w:ascii="仿宋_GB2312" w:eastAsia="仿宋_GB2312"/>
                <w:sz w:val="24"/>
                <w:szCs w:val="24"/>
              </w:rPr>
            </w:pPr>
            <w:r>
              <w:rPr>
                <w:rFonts w:hint="eastAsia" w:ascii="仿宋_GB2312" w:eastAsia="仿宋_GB2312"/>
                <w:sz w:val="24"/>
                <w:szCs w:val="24"/>
              </w:rPr>
              <w:t>创新特色案例达2个，案例撰写符合要求，</w:t>
            </w:r>
            <w:r>
              <w:rPr>
                <w:rFonts w:hint="eastAsia" w:ascii="仿宋_GB2312" w:eastAsia="仿宋_GB2312"/>
                <w:sz w:val="24"/>
                <w:szCs w:val="24"/>
                <w:lang w:eastAsia="zh-CN"/>
              </w:rPr>
              <w:t>得</w:t>
            </w:r>
            <w:r>
              <w:rPr>
                <w:rFonts w:hint="eastAsia" w:ascii="仿宋_GB2312" w:eastAsia="仿宋_GB2312"/>
                <w:sz w:val="24"/>
                <w:szCs w:val="24"/>
              </w:rPr>
              <w:t>15分；1个，</w:t>
            </w:r>
            <w:r>
              <w:rPr>
                <w:rFonts w:hint="eastAsia" w:ascii="仿宋_GB2312" w:eastAsia="仿宋_GB2312"/>
                <w:sz w:val="24"/>
                <w:szCs w:val="24"/>
                <w:lang w:eastAsia="zh-CN"/>
              </w:rPr>
              <w:t>得</w:t>
            </w:r>
            <w:r>
              <w:rPr>
                <w:rFonts w:hint="eastAsia" w:ascii="仿宋_GB2312" w:eastAsia="仿宋_GB2312"/>
                <w:sz w:val="24"/>
                <w:szCs w:val="24"/>
              </w:rPr>
              <w:t>10分。</w:t>
            </w:r>
          </w:p>
          <w:p>
            <w:pPr>
              <w:rPr>
                <w:rFonts w:ascii="仿宋_GB2312" w:eastAsia="仿宋_GB2312"/>
                <w:sz w:val="24"/>
                <w:szCs w:val="24"/>
              </w:rPr>
            </w:pP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15</w:t>
            </w:r>
          </w:p>
        </w:tc>
        <w:tc>
          <w:tcPr>
            <w:tcW w:w="2289" w:type="dxa"/>
            <w:vAlign w:val="top"/>
          </w:tcPr>
          <w:p>
            <w:pPr>
              <w:widowControl/>
              <w:rPr>
                <w:rFonts w:ascii="仿宋_GB2312" w:eastAsia="仿宋_GB2312" w:cs="宋体"/>
                <w:kern w:val="0"/>
                <w:sz w:val="24"/>
                <w:szCs w:val="24"/>
              </w:rPr>
            </w:pPr>
            <w:r>
              <w:rPr>
                <w:rFonts w:hint="eastAsia" w:ascii="仿宋_GB2312" w:eastAsia="仿宋_GB2312" w:cs="宋体"/>
                <w:spacing w:val="-6"/>
                <w:kern w:val="0"/>
                <w:sz w:val="24"/>
                <w:szCs w:val="24"/>
              </w:rPr>
              <w:t>查阅案例文件，查阅该案例的相关原始素材等资料，现场评估。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3" w:type="dxa"/>
            <w:vMerge w:val="continue"/>
            <w:vAlign w:val="center"/>
          </w:tcPr>
          <w:p>
            <w:pPr>
              <w:widowControl/>
              <w:jc w:val="center"/>
              <w:rPr>
                <w:rFonts w:ascii="宋体" w:cs="宋体"/>
                <w:kern w:val="0"/>
                <w:szCs w:val="21"/>
              </w:rPr>
            </w:pPr>
          </w:p>
        </w:tc>
        <w:tc>
          <w:tcPr>
            <w:tcW w:w="1975" w:type="dxa"/>
            <w:vMerge w:val="continue"/>
            <w:vAlign w:val="center"/>
          </w:tcPr>
          <w:p>
            <w:pPr>
              <w:widowControl/>
              <w:jc w:val="center"/>
              <w:rPr>
                <w:rFonts w:ascii="宋体" w:cs="宋体"/>
                <w:kern w:val="0"/>
                <w:szCs w:val="21"/>
              </w:rPr>
            </w:pPr>
          </w:p>
        </w:tc>
        <w:tc>
          <w:tcPr>
            <w:tcW w:w="2260" w:type="dxa"/>
            <w:vAlign w:val="top"/>
          </w:tcPr>
          <w:p>
            <w:pPr>
              <w:widowControl/>
              <w:rPr>
                <w:rFonts w:ascii="仿宋_GB2312" w:eastAsia="仿宋_GB2312" w:cs="宋体"/>
                <w:kern w:val="0"/>
                <w:sz w:val="24"/>
                <w:szCs w:val="24"/>
              </w:rPr>
            </w:pPr>
            <w:r>
              <w:rPr>
                <w:rFonts w:hint="eastAsia" w:ascii="仿宋_GB2312" w:eastAsia="仿宋_GB2312" w:cs="宋体"/>
                <w:kern w:val="0"/>
                <w:sz w:val="24"/>
                <w:szCs w:val="24"/>
              </w:rPr>
              <w:t>3.示范区成功经验在全省被推广应用。</w:t>
            </w:r>
          </w:p>
        </w:tc>
        <w:tc>
          <w:tcPr>
            <w:tcW w:w="6197" w:type="dxa"/>
            <w:vAlign w:val="top"/>
          </w:tcPr>
          <w:p>
            <w:pPr>
              <w:rPr>
                <w:rFonts w:ascii="仿宋_GB2312" w:eastAsia="仿宋_GB2312"/>
                <w:sz w:val="24"/>
                <w:szCs w:val="24"/>
              </w:rPr>
            </w:pPr>
            <w:r>
              <w:rPr>
                <w:rFonts w:hint="eastAsia" w:ascii="仿宋_GB2312" w:eastAsia="仿宋_GB2312"/>
                <w:sz w:val="24"/>
                <w:szCs w:val="24"/>
              </w:rPr>
              <w:t>示范区成功经验被推广2项，</w:t>
            </w:r>
            <w:r>
              <w:rPr>
                <w:rFonts w:hint="eastAsia" w:ascii="仿宋_GB2312" w:eastAsia="仿宋_GB2312"/>
                <w:sz w:val="24"/>
                <w:szCs w:val="24"/>
                <w:lang w:eastAsia="zh-CN"/>
              </w:rPr>
              <w:t>得</w:t>
            </w:r>
            <w:r>
              <w:rPr>
                <w:rFonts w:hint="eastAsia" w:ascii="仿宋_GB2312" w:eastAsia="仿宋_GB2312"/>
                <w:sz w:val="24"/>
                <w:szCs w:val="24"/>
              </w:rPr>
              <w:t>5分；1项，</w:t>
            </w:r>
            <w:r>
              <w:rPr>
                <w:rFonts w:hint="eastAsia" w:ascii="仿宋_GB2312" w:eastAsia="仿宋_GB2312"/>
                <w:sz w:val="24"/>
                <w:szCs w:val="24"/>
                <w:lang w:eastAsia="zh-CN"/>
              </w:rPr>
              <w:t>得</w:t>
            </w:r>
            <w:r>
              <w:rPr>
                <w:rFonts w:hint="eastAsia" w:ascii="仿宋_GB2312" w:eastAsia="仿宋_GB2312"/>
                <w:sz w:val="24"/>
                <w:szCs w:val="24"/>
              </w:rPr>
              <w:t>3分。</w:t>
            </w:r>
          </w:p>
          <w:p>
            <w:pPr>
              <w:rPr>
                <w:rFonts w:ascii="仿宋_GB2312" w:eastAsia="仿宋_GB2312"/>
                <w:sz w:val="24"/>
                <w:szCs w:val="24"/>
              </w:rPr>
            </w:pP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5</w:t>
            </w:r>
          </w:p>
        </w:tc>
        <w:tc>
          <w:tcPr>
            <w:tcW w:w="2289" w:type="dxa"/>
            <w:vAlign w:val="top"/>
          </w:tcPr>
          <w:p>
            <w:pPr>
              <w:widowControl/>
              <w:adjustRightInd w:val="0"/>
              <w:snapToGrid w:val="0"/>
              <w:spacing w:beforeLines="0" w:afterLines="0" w:line="280" w:lineRule="exact"/>
              <w:rPr>
                <w:rFonts w:ascii="仿宋_GB2312" w:eastAsia="仿宋_GB2312" w:cs="宋体"/>
                <w:kern w:val="0"/>
                <w:sz w:val="24"/>
                <w:szCs w:val="24"/>
              </w:rPr>
            </w:pPr>
            <w:r>
              <w:rPr>
                <w:rFonts w:hint="eastAsia" w:ascii="仿宋_GB2312" w:eastAsia="仿宋_GB2312" w:cs="宋体"/>
                <w:kern w:val="0"/>
                <w:sz w:val="24"/>
                <w:szCs w:val="24"/>
              </w:rPr>
              <w:t>查阅每项被推广应查看成功经验描述件、省级要求的推广文件、推广后的反响等资料</w:t>
            </w:r>
            <w:r>
              <w:rPr>
                <w:rFonts w:ascii="仿宋_GB2312" w:eastAsia="仿宋_GB2312" w:cs="宋体"/>
                <w:kern w:val="0"/>
                <w:sz w:val="24"/>
                <w:szCs w:val="24"/>
              </w:rPr>
              <w:t>，</w:t>
            </w:r>
            <w:r>
              <w:rPr>
                <w:rFonts w:hint="eastAsia" w:ascii="仿宋_GB2312" w:eastAsia="仿宋_GB2312" w:cs="宋体"/>
                <w:kern w:val="0"/>
                <w:sz w:val="24"/>
                <w:szCs w:val="24"/>
              </w:rPr>
              <w:t>现场评估。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83" w:type="dxa"/>
            <w:vAlign w:val="center"/>
          </w:tcPr>
          <w:p>
            <w:pPr>
              <w:widowControl/>
              <w:jc w:val="center"/>
              <w:rPr>
                <w:rFonts w:ascii="宋体" w:cs="宋体"/>
                <w:b/>
                <w:kern w:val="0"/>
                <w:szCs w:val="21"/>
              </w:rPr>
            </w:pPr>
            <w:r>
              <w:rPr>
                <w:rFonts w:hint="eastAsia" w:ascii="仿宋_GB2312" w:eastAsia="仿宋_GB2312"/>
                <w:b/>
                <w:sz w:val="28"/>
                <w:szCs w:val="28"/>
              </w:rPr>
              <w:t>合计</w:t>
            </w:r>
          </w:p>
        </w:tc>
        <w:tc>
          <w:tcPr>
            <w:tcW w:w="1975" w:type="dxa"/>
            <w:vAlign w:val="center"/>
          </w:tcPr>
          <w:p>
            <w:pPr>
              <w:widowControl/>
              <w:jc w:val="center"/>
              <w:rPr>
                <w:rFonts w:ascii="宋体" w:cs="宋体"/>
                <w:kern w:val="0"/>
                <w:szCs w:val="21"/>
              </w:rPr>
            </w:pPr>
          </w:p>
        </w:tc>
        <w:tc>
          <w:tcPr>
            <w:tcW w:w="2260" w:type="dxa"/>
            <w:vAlign w:val="top"/>
          </w:tcPr>
          <w:p>
            <w:pPr>
              <w:widowControl/>
              <w:rPr>
                <w:rFonts w:ascii="仿宋_GB2312" w:eastAsia="仿宋_GB2312" w:cs="宋体"/>
                <w:kern w:val="0"/>
                <w:sz w:val="24"/>
                <w:szCs w:val="24"/>
              </w:rPr>
            </w:pPr>
          </w:p>
        </w:tc>
        <w:tc>
          <w:tcPr>
            <w:tcW w:w="6197" w:type="dxa"/>
            <w:vAlign w:val="top"/>
          </w:tcPr>
          <w:p>
            <w:pPr>
              <w:rPr>
                <w:rFonts w:ascii="仿宋_GB2312" w:eastAsia="仿宋_GB2312"/>
                <w:sz w:val="24"/>
                <w:szCs w:val="24"/>
              </w:rPr>
            </w:pPr>
          </w:p>
        </w:tc>
        <w:tc>
          <w:tcPr>
            <w:tcW w:w="956"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300</w:t>
            </w:r>
          </w:p>
        </w:tc>
        <w:tc>
          <w:tcPr>
            <w:tcW w:w="2289" w:type="dxa"/>
            <w:vAlign w:val="center"/>
          </w:tcPr>
          <w:p>
            <w:pPr>
              <w:widowControl/>
              <w:jc w:val="left"/>
              <w:rPr>
                <w:rFonts w:ascii="仿宋_GB2312" w:eastAsia="仿宋_GB2312" w:cs="宋体"/>
                <w:kern w:val="0"/>
                <w:sz w:val="24"/>
                <w:szCs w:val="24"/>
              </w:rPr>
            </w:pPr>
          </w:p>
        </w:tc>
      </w:tr>
    </w:tbl>
    <w:p/>
    <w:sectPr>
      <w:footerReference r:id="rId6" w:type="default"/>
      <w:pgSz w:w="16838" w:h="11906" w:orient="landscape"/>
      <w:pgMar w:top="1701" w:right="1247" w:bottom="1701" w:left="1247" w:header="851" w:footer="992" w:gutter="0"/>
      <w:pgBorders>
        <w:top w:val="none" w:sz="0" w:space="0"/>
        <w:left w:val="none" w:sz="0" w:space="0"/>
        <w:bottom w:val="none" w:sz="0" w:space="0"/>
        <w:right w:val="none" w:sz="0" w:space="0"/>
      </w:pgBorders>
      <w:pgNumType w:fmt="decimal" w:start="15"/>
      <w:cols w:space="72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hint="eastAsia" w:ascii="仿宋" w:hAnsi="仿宋" w:eastAsia="仿宋" w:cs="仿宋"/>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Bdr>
                              <w:top w:val="none" w:color="auto" w:sz="0" w:space="0"/>
                              <w:left w:val="none" w:color="auto" w:sz="0" w:space="0"/>
                              <w:bottom w:val="none" w:color="auto" w:sz="0" w:space="0"/>
                              <w:right w:val="none" w:color="auto" w:sz="0" w:space="0"/>
                              <w:between w:val="none" w:color="auto" w:sz="0" w:space="0"/>
                            </w:pBdr>
                            <w:spacing w:after="0" w:afterLines="0"/>
                            <w:rPr>
                              <w:rFonts w:hint="default" w:ascii="Times New Roman" w:hAnsi="Times New Roman" w:eastAsia="仿宋" w:cs="Times New Roman"/>
                              <w:sz w:val="28"/>
                            </w:rPr>
                          </w:pPr>
                          <w:r>
                            <w:rPr>
                              <w:rStyle w:val="6"/>
                              <w:rFonts w:hint="eastAsia" w:eastAsia="仿宋" w:cs="Times New Roman"/>
                              <w:sz w:val="28"/>
                              <w:lang w:eastAsia="zh-CN"/>
                            </w:rPr>
                            <w:t>—</w:t>
                          </w:r>
                          <w:r>
                            <w:rPr>
                              <w:rStyle w:val="6"/>
                              <w:rFonts w:hint="eastAsia" w:eastAsia="仿宋" w:cs="Times New Roman"/>
                              <w:sz w:val="28"/>
                              <w:lang w:val="en-US" w:eastAsia="zh-CN"/>
                            </w:rPr>
                            <w:t xml:space="preserve"> </w:t>
                          </w:r>
                          <w:r>
                            <w:rPr>
                              <w:rFonts w:hint="default" w:ascii="Times New Roman" w:hAnsi="Times New Roman" w:eastAsia="仿宋" w:cs="Times New Roman"/>
                              <w:sz w:val="28"/>
                            </w:rPr>
                            <w:fldChar w:fldCharType="begin"/>
                          </w:r>
                          <w:r>
                            <w:rPr>
                              <w:rStyle w:val="6"/>
                              <w:rFonts w:hint="default" w:ascii="Times New Roman" w:hAnsi="Times New Roman" w:eastAsia="仿宋" w:cs="Times New Roman"/>
                              <w:sz w:val="28"/>
                            </w:rPr>
                            <w:instrText xml:space="preserve"> PAGE  </w:instrText>
                          </w:r>
                          <w:r>
                            <w:rPr>
                              <w:rFonts w:hint="default" w:ascii="Times New Roman" w:hAnsi="Times New Roman" w:eastAsia="仿宋" w:cs="Times New Roman"/>
                              <w:sz w:val="28"/>
                            </w:rPr>
                            <w:fldChar w:fldCharType="separate"/>
                          </w:r>
                          <w:r>
                            <w:rPr>
                              <w:rStyle w:val="6"/>
                              <w:rFonts w:hint="default" w:ascii="Times New Roman" w:hAnsi="Times New Roman" w:eastAsia="仿宋" w:cs="Times New Roman"/>
                              <w:sz w:val="28"/>
                            </w:rPr>
                            <w:t>- 2 -</w:t>
                          </w:r>
                          <w:r>
                            <w:rPr>
                              <w:rFonts w:hint="default" w:ascii="Times New Roman" w:hAnsi="Times New Roman" w:eastAsia="仿宋" w:cs="Times New Roman"/>
                              <w:sz w:val="28"/>
                            </w:rPr>
                            <w:fldChar w:fldCharType="end"/>
                          </w:r>
                          <w:r>
                            <w:rPr>
                              <w:rStyle w:val="6"/>
                              <w:rFonts w:hint="eastAsia" w:eastAsia="仿宋" w:cs="Times New Roman"/>
                              <w:sz w:val="28"/>
                              <w:lang w:val="en-US" w:eastAsia="zh-CN"/>
                            </w:rPr>
                            <w:t xml:space="preserve"> —</w:t>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pPr>
                      <w:pStyle w:val="2"/>
                      <w:pBdr>
                        <w:top w:val="none" w:color="auto" w:sz="0" w:space="0"/>
                        <w:left w:val="none" w:color="auto" w:sz="0" w:space="0"/>
                        <w:bottom w:val="none" w:color="auto" w:sz="0" w:space="0"/>
                        <w:right w:val="none" w:color="auto" w:sz="0" w:space="0"/>
                        <w:between w:val="none" w:color="auto" w:sz="0" w:space="0"/>
                      </w:pBdr>
                      <w:spacing w:after="0" w:afterLines="0"/>
                      <w:rPr>
                        <w:rFonts w:hint="default" w:ascii="Times New Roman" w:hAnsi="Times New Roman" w:eastAsia="仿宋" w:cs="Times New Roman"/>
                        <w:sz w:val="28"/>
                      </w:rPr>
                    </w:pPr>
                    <w:r>
                      <w:rPr>
                        <w:rStyle w:val="6"/>
                        <w:rFonts w:hint="eastAsia" w:eastAsia="仿宋" w:cs="Times New Roman"/>
                        <w:sz w:val="28"/>
                        <w:lang w:eastAsia="zh-CN"/>
                      </w:rPr>
                      <w:t>—</w:t>
                    </w:r>
                    <w:r>
                      <w:rPr>
                        <w:rStyle w:val="6"/>
                        <w:rFonts w:hint="eastAsia" w:eastAsia="仿宋" w:cs="Times New Roman"/>
                        <w:sz w:val="28"/>
                        <w:lang w:val="en-US" w:eastAsia="zh-CN"/>
                      </w:rPr>
                      <w:t xml:space="preserve"> </w:t>
                    </w:r>
                    <w:r>
                      <w:rPr>
                        <w:rFonts w:hint="default" w:ascii="Times New Roman" w:hAnsi="Times New Roman" w:eastAsia="仿宋" w:cs="Times New Roman"/>
                        <w:sz w:val="28"/>
                      </w:rPr>
                      <w:fldChar w:fldCharType="begin"/>
                    </w:r>
                    <w:r>
                      <w:rPr>
                        <w:rStyle w:val="6"/>
                        <w:rFonts w:hint="default" w:ascii="Times New Roman" w:hAnsi="Times New Roman" w:eastAsia="仿宋" w:cs="Times New Roman"/>
                        <w:sz w:val="28"/>
                      </w:rPr>
                      <w:instrText xml:space="preserve"> PAGE  </w:instrText>
                    </w:r>
                    <w:r>
                      <w:rPr>
                        <w:rFonts w:hint="default" w:ascii="Times New Roman" w:hAnsi="Times New Roman" w:eastAsia="仿宋" w:cs="Times New Roman"/>
                        <w:sz w:val="28"/>
                      </w:rPr>
                      <w:fldChar w:fldCharType="separate"/>
                    </w:r>
                    <w:r>
                      <w:rPr>
                        <w:rStyle w:val="6"/>
                        <w:rFonts w:hint="default" w:ascii="Times New Roman" w:hAnsi="Times New Roman" w:eastAsia="仿宋" w:cs="Times New Roman"/>
                        <w:sz w:val="28"/>
                      </w:rPr>
                      <w:t>- 2 -</w:t>
                    </w:r>
                    <w:r>
                      <w:rPr>
                        <w:rFonts w:hint="default" w:ascii="Times New Roman" w:hAnsi="Times New Roman" w:eastAsia="仿宋" w:cs="Times New Roman"/>
                        <w:sz w:val="28"/>
                      </w:rPr>
                      <w:fldChar w:fldCharType="end"/>
                    </w:r>
                    <w:r>
                      <w:rPr>
                        <w:rStyle w:val="6"/>
                        <w:rFonts w:hint="eastAsia" w:eastAsia="仿宋" w:cs="Times New Roman"/>
                        <w:sz w:val="28"/>
                        <w:lang w:val="en-US" w:eastAsia="zh-CN"/>
                      </w:rPr>
                      <w:t xml:space="preserve"> —</w:t>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6"/>
                              <w:sz w:val="28"/>
                              <w:szCs w:val="28"/>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13</w:t>
                          </w:r>
                          <w:r>
                            <w:rPr>
                              <w:sz w:val="28"/>
                              <w:szCs w:val="28"/>
                            </w:rPr>
                            <w:fldChar w:fldCharType="end"/>
                          </w:r>
                          <w:r>
                            <w:rPr>
                              <w:rFonts w:hint="eastAsia"/>
                              <w:sz w:val="28"/>
                              <w:szCs w:val="28"/>
                              <w:lang w:val="en-US" w:eastAsia="zh-CN"/>
                            </w:rPr>
                            <w:t xml:space="preserve"> —</w:t>
                          </w:r>
                        </w:p>
                        <w:p>
                          <w:pPr>
                            <w:rPr>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G6V/17RAQAAogMAAA4AAAAAAAAAAQAgAAAAHgEAAGRy&#10;cy9lMm9Eb2MueG1sUEsFBgAAAAAGAAYAWQEAAGEFAAAAAA==&#10;">
              <v:fill on="f" focussize="0,0"/>
              <v:stroke on="f"/>
              <v:imagedata o:title=""/>
              <o:lock v:ext="edit" aspectratio="f"/>
              <v:textbox inset="0mm,0mm,0mm,0mm" style="mso-fit-shape-to-text:t;">
                <w:txbxContent>
                  <w:p>
                    <w:pPr>
                      <w:pStyle w:val="2"/>
                      <w:rPr>
                        <w:rStyle w:val="6"/>
                        <w:sz w:val="28"/>
                        <w:szCs w:val="28"/>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13</w:t>
                    </w:r>
                    <w:r>
                      <w:rPr>
                        <w:sz w:val="28"/>
                        <w:szCs w:val="28"/>
                      </w:rPr>
                      <w:fldChar w:fldCharType="end"/>
                    </w:r>
                    <w:r>
                      <w:rPr>
                        <w:rFonts w:hint="eastAsia"/>
                        <w:sz w:val="28"/>
                        <w:szCs w:val="28"/>
                        <w:lang w:val="en-US" w:eastAsia="zh-CN"/>
                      </w:rPr>
                      <w:t xml:space="preserve"> —</w:t>
                    </w:r>
                  </w:p>
                  <w:p>
                    <w:pPr>
                      <w:rPr>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eastAsia="宋体"/>
        <w:u w:val="none"/>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E02811"/>
    <w:multiLevelType w:val="multilevel"/>
    <w:tmpl w:val="3CE02811"/>
    <w:lvl w:ilvl="0" w:tentative="0">
      <w:start w:val="2"/>
      <w:numFmt w:val="decimal"/>
      <w:lvlText w:val="（%1）"/>
      <w:lvlJc w:val="left"/>
      <w:pPr>
        <w:ind w:left="720" w:hanging="720"/>
      </w:pPr>
      <w:rPr>
        <w:rFonts w:hint="default" w:cs="宋体"/>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0AF87727"/>
    <w:rsid w:val="25C10F0D"/>
    <w:rsid w:val="40D72B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14143</Words>
  <Characters>14670</Characters>
  <Lines>0</Lines>
  <Paragraphs>0</Paragraphs>
  <TotalTime>2</TotalTime>
  <ScaleCrop>false</ScaleCrop>
  <LinksUpToDate>false</LinksUpToDate>
  <CharactersWithSpaces>14850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2022-08-25T08:12:51Z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7E1DFCFAD663491C86032ECCFC5C4570</vt:lpwstr>
  </property>
</Properties>
</file>