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64" w:rsidRPr="00174D64" w:rsidRDefault="00174D64" w:rsidP="00174D64">
      <w:pPr>
        <w:autoSpaceDN w:val="0"/>
        <w:spacing w:line="579" w:lineRule="exact"/>
        <w:rPr>
          <w:rFonts w:ascii="仿宋" w:eastAsia="仿宋" w:hAnsi="仿宋"/>
          <w:sz w:val="28"/>
          <w:szCs w:val="28"/>
        </w:rPr>
      </w:pPr>
      <w:r w:rsidRPr="00174D64">
        <w:rPr>
          <w:rFonts w:ascii="仿宋" w:eastAsia="仿宋" w:hAnsi="仿宋" w:hint="eastAsia"/>
          <w:sz w:val="28"/>
          <w:szCs w:val="28"/>
        </w:rPr>
        <w:t>附件2</w:t>
      </w:r>
    </w:p>
    <w:p w:rsidR="00174D64" w:rsidRPr="00174D64" w:rsidRDefault="00174D64" w:rsidP="00174D64">
      <w:pPr>
        <w:autoSpaceDN w:val="0"/>
        <w:spacing w:line="240" w:lineRule="auto"/>
        <w:rPr>
          <w:rFonts w:ascii="仿宋" w:eastAsia="仿宋" w:hAnsi="仿宋" w:hint="eastAsia"/>
          <w:sz w:val="28"/>
          <w:szCs w:val="28"/>
        </w:rPr>
      </w:pPr>
    </w:p>
    <w:p w:rsidR="00174D64" w:rsidRPr="00174D64" w:rsidRDefault="00174D64" w:rsidP="00174D64">
      <w:pPr>
        <w:autoSpaceDN w:val="0"/>
        <w:spacing w:line="579" w:lineRule="exact"/>
        <w:jc w:val="center"/>
        <w:rPr>
          <w:rFonts w:ascii="仿宋" w:eastAsia="仿宋" w:hAnsi="仿宋" w:hint="eastAsia"/>
          <w:sz w:val="28"/>
          <w:szCs w:val="28"/>
        </w:rPr>
      </w:pPr>
      <w:r w:rsidRPr="00174D64">
        <w:rPr>
          <w:rFonts w:ascii="仿宋" w:eastAsia="仿宋" w:hAnsi="仿宋" w:hint="eastAsia"/>
          <w:sz w:val="28"/>
          <w:szCs w:val="28"/>
        </w:rPr>
        <w:t>《福建省结核病防治规划（2011－2015年）》终期评估信息系统数据指标说明</w:t>
      </w:r>
    </w:p>
    <w:p w:rsidR="00174D64" w:rsidRPr="00174D64" w:rsidRDefault="00174D64" w:rsidP="00174D64">
      <w:pPr>
        <w:autoSpaceDN w:val="0"/>
        <w:spacing w:line="240" w:lineRule="auto"/>
        <w:rPr>
          <w:rFonts w:ascii="仿宋" w:eastAsia="仿宋" w:hAnsi="仿宋" w:hint="eastAsia"/>
          <w:sz w:val="28"/>
          <w:szCs w:val="28"/>
        </w:rPr>
      </w:pPr>
    </w:p>
    <w:tbl>
      <w:tblPr>
        <w:tblW w:w="4774" w:type="pct"/>
        <w:jc w:val="center"/>
        <w:tblBorders>
          <w:top w:val="single" w:sz="4" w:space="0" w:color="000000"/>
          <w:left w:val="single" w:sz="4" w:space="0" w:color="000000"/>
          <w:bottom w:val="single" w:sz="4" w:space="0" w:color="000000"/>
          <w:right w:val="single" w:sz="4" w:space="0" w:color="000000"/>
        </w:tblBorders>
        <w:tblLook w:val="04A0"/>
      </w:tblPr>
      <w:tblGrid>
        <w:gridCol w:w="1348"/>
        <w:gridCol w:w="2268"/>
        <w:gridCol w:w="7507"/>
        <w:gridCol w:w="2410"/>
      </w:tblGrid>
      <w:tr w:rsidR="00174D64" w:rsidRPr="00174D64" w:rsidTr="00174D64">
        <w:trPr>
          <w:trHeight w:val="907"/>
          <w:tblHeader/>
          <w:jc w:val="center"/>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center"/>
              <w:rPr>
                <w:rFonts w:ascii="仿宋" w:eastAsia="仿宋" w:hAnsi="仿宋"/>
                <w:color w:val="000000"/>
                <w:sz w:val="28"/>
                <w:szCs w:val="28"/>
              </w:rPr>
            </w:pPr>
            <w:r w:rsidRPr="00174D64">
              <w:rPr>
                <w:rFonts w:ascii="仿宋" w:eastAsia="仿宋" w:hAnsi="仿宋" w:hint="eastAsia"/>
                <w:sz w:val="28"/>
                <w:szCs w:val="28"/>
              </w:rPr>
              <w:br w:type="page"/>
            </w:r>
            <w:r w:rsidRPr="00174D64">
              <w:rPr>
                <w:rFonts w:ascii="仿宋" w:eastAsia="仿宋" w:hAnsi="仿宋" w:hint="eastAsia"/>
                <w:color w:val="000000"/>
                <w:sz w:val="28"/>
                <w:szCs w:val="28"/>
              </w:rPr>
              <w:t>领域</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center"/>
              <w:rPr>
                <w:rFonts w:ascii="仿宋" w:eastAsia="仿宋" w:hAnsi="仿宋"/>
                <w:color w:val="000000"/>
                <w:sz w:val="28"/>
                <w:szCs w:val="28"/>
              </w:rPr>
            </w:pPr>
            <w:r w:rsidRPr="00174D64">
              <w:rPr>
                <w:rFonts w:ascii="仿宋" w:eastAsia="仿宋" w:hAnsi="仿宋" w:hint="eastAsia"/>
                <w:color w:val="000000"/>
                <w:sz w:val="28"/>
                <w:szCs w:val="28"/>
              </w:rPr>
              <w:t>指标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center"/>
              <w:rPr>
                <w:rFonts w:ascii="仿宋" w:eastAsia="仿宋" w:hAnsi="仿宋"/>
                <w:color w:val="000000"/>
                <w:sz w:val="28"/>
                <w:szCs w:val="28"/>
              </w:rPr>
            </w:pPr>
            <w:r w:rsidRPr="00174D64">
              <w:rPr>
                <w:rFonts w:ascii="仿宋" w:eastAsia="仿宋" w:hAnsi="仿宋" w:hint="eastAsia"/>
                <w:color w:val="000000"/>
                <w:sz w:val="28"/>
                <w:szCs w:val="28"/>
              </w:rPr>
              <w:t>指标说明</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center"/>
              <w:rPr>
                <w:rFonts w:ascii="仿宋" w:eastAsia="仿宋" w:hAnsi="仿宋"/>
                <w:color w:val="000000"/>
                <w:sz w:val="28"/>
                <w:szCs w:val="28"/>
              </w:rPr>
            </w:pPr>
            <w:r w:rsidRPr="00174D64">
              <w:rPr>
                <w:rFonts w:ascii="仿宋" w:eastAsia="仿宋" w:hAnsi="仿宋" w:hint="eastAsia"/>
                <w:color w:val="000000"/>
                <w:sz w:val="28"/>
                <w:szCs w:val="28"/>
              </w:rPr>
              <w:t>适用级别</w:t>
            </w:r>
          </w:p>
        </w:tc>
      </w:tr>
      <w:tr w:rsidR="00174D64" w:rsidRPr="00174D64" w:rsidTr="00174D64">
        <w:trPr>
          <w:cantSplit/>
          <w:trHeight w:val="907"/>
          <w:jc w:val="center"/>
        </w:trPr>
        <w:tc>
          <w:tcPr>
            <w:tcW w:w="1348" w:type="dxa"/>
            <w:vMerge w:val="restart"/>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疫情情况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left"/>
              <w:rPr>
                <w:rFonts w:ascii="仿宋" w:eastAsia="仿宋" w:hAnsi="仿宋" w:cs="宋体"/>
                <w:color w:val="000000"/>
                <w:sz w:val="28"/>
                <w:szCs w:val="28"/>
              </w:rPr>
            </w:pPr>
            <w:r w:rsidRPr="00174D64">
              <w:rPr>
                <w:rFonts w:ascii="仿宋" w:eastAsia="仿宋" w:hAnsi="仿宋" w:hint="eastAsia"/>
                <w:color w:val="000000"/>
                <w:sz w:val="28"/>
                <w:szCs w:val="28"/>
              </w:rPr>
              <w:t>1. 肺结核患者发现并治疗管理人数</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2011年－2015年6月，每年发现并治疗管理的肺结核患者人数。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2. 肺结核报告发病率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2011年－2014年，每年传染病网络直报系统报告的活动性肺结核患者人数占当年人口数比例。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公式：报告的活动性肺结核患者人数/当年人口数（1/10万）</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w:t>
            </w:r>
          </w:p>
        </w:tc>
      </w:tr>
      <w:tr w:rsidR="00174D64" w:rsidRPr="00174D64" w:rsidTr="00174D64">
        <w:trPr>
          <w:cantSplit/>
          <w:trHeight w:val="907"/>
          <w:jc w:val="center"/>
        </w:trPr>
        <w:tc>
          <w:tcPr>
            <w:tcW w:w="1348" w:type="dxa"/>
            <w:vMerge w:val="restart"/>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患者发现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3. 初诊肺结核可疑者查痰率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2011年－2015年6月，每年为初诊肺结核可疑者提供痰涂片检查的人数占同期初诊肺结核可疑者总数的比例。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公式：初诊肺结核可疑者查痰人数/同期初诊肺结核可疑者总数×100％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4. 肺结核患者登记管理率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2011年－2015年6月，每年登记管理的肺结核患者数占同期报告的肺结核患者总数比例。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公式：登记管理的肺结核患者数/同期报告的肺结核患者总数×100％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5. 涂阳肺结核患者密切接触者筛查率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2011年－2015年6月，每年新登记涂阳肺结核患者密切接触者接受筛查的人数占同期密切接触者总人数的比例。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公式：接受筛查的密切接触者人数/同期密切接触者总人数×100％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6. 报告肺结核患者和疑似肺结核患者的总体到位率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2011年－2015年6月，每年通过非定点医疗机构转诊和结防机构追踪到位的以及其他情况下到位的肺结核患者或疑似肺结核患者数占同期应转诊的肺结核患者或疑似肺结核患者数的比例。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公式：转诊到位、追踪到位和其他到位人数/同期应转诊的患者数×100％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val="restart"/>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治疗管理</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7. 新涂阳肺结核患者治愈率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2011年－2014年，每年治愈的新涂阳肺结核患者数占当年登记的新涂阳肺结核患者数的比例。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公式：治愈的新涂阳患者数/新涂阳患者登记数×100％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8. 新涂阴肺结核患者完成治疗率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2011年－2014年，每年完成疗程的新涂阴肺结核患者数占当年登记的新涂阴肺结核患者数的比例。</w:t>
            </w:r>
            <w:r w:rsidRPr="00174D64">
              <w:rPr>
                <w:rFonts w:ascii="仿宋" w:eastAsia="仿宋" w:hAnsi="仿宋" w:hint="eastAsia"/>
                <w:color w:val="000000"/>
                <w:sz w:val="28"/>
                <w:szCs w:val="28"/>
              </w:rPr>
              <w:br w:type="textWrapping" w:clear="all"/>
              <w:t>公式：完成疗程的新涂阴患者数/登记新涂阴患者数×100％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9. 肺结核患者全疗程系统管理率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2011年－2014年，每年完成全疗程随访复查、督导服药管理的肺结核患者数占当年登记的肺结核患者数的比例。</w:t>
            </w:r>
          </w:p>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公式：完成全疗程随访复查、督导服药管理的肺结核患者数/登记的肺结核患者数×100％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10. 以县（市）为单位抗结核固定剂量复合制剂使用覆盖率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s="Arial"/>
                <w:color w:val="000000"/>
                <w:sz w:val="28"/>
                <w:szCs w:val="28"/>
              </w:rPr>
            </w:pPr>
            <w:r w:rsidRPr="00174D64">
              <w:rPr>
                <w:rFonts w:ascii="仿宋" w:eastAsia="仿宋" w:hAnsi="仿宋" w:hint="eastAsia"/>
                <w:color w:val="000000"/>
                <w:sz w:val="28"/>
                <w:szCs w:val="28"/>
              </w:rPr>
              <w:t>2011年－2015年6月，每年使用抗结核固定剂量复合制剂的县（市）数占该地区所辖的县（市）数的比例。</w:t>
            </w:r>
            <w:r w:rsidRPr="00174D64">
              <w:rPr>
                <w:rFonts w:ascii="仿宋" w:eastAsia="仿宋" w:hAnsi="仿宋" w:hint="eastAsia"/>
                <w:color w:val="000000"/>
                <w:sz w:val="28"/>
                <w:szCs w:val="28"/>
              </w:rPr>
              <w:br w:type="textWrapping" w:clear="all"/>
              <w:t>公式：使用抗结核固定剂量复合制剂的县（市）数/该地区所辖的县（市）数×100％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省</w:t>
            </w:r>
          </w:p>
        </w:tc>
      </w:tr>
      <w:tr w:rsidR="00174D64" w:rsidRPr="00174D64" w:rsidTr="00174D64">
        <w:trPr>
          <w:trHeight w:val="907"/>
          <w:jc w:val="center"/>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耐多药肺结核防治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11. 耐多药肺结核可疑者筛查率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2011年－2015年6月，每年接受耐药检测（接受快速药敏检测和/或传统痰培养）的耐多药肺结核可疑者数占登记耐多药肺结核可疑者总数的比例。</w:t>
            </w:r>
            <w:r w:rsidRPr="00174D64">
              <w:rPr>
                <w:rFonts w:ascii="仿宋" w:eastAsia="仿宋" w:hAnsi="仿宋" w:hint="eastAsia"/>
                <w:color w:val="000000"/>
                <w:sz w:val="28"/>
                <w:szCs w:val="28"/>
              </w:rPr>
              <w:br w:type="textWrapping" w:clear="all"/>
              <w:t>公式：接受耐药检测的耐多药肺结核可疑者数/登记耐多药肺结核可疑者总数×100％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省、地（市）</w:t>
            </w:r>
          </w:p>
        </w:tc>
      </w:tr>
      <w:tr w:rsidR="00174D64" w:rsidRPr="00174D64" w:rsidTr="00174D64">
        <w:trPr>
          <w:cantSplit/>
          <w:trHeight w:val="907"/>
          <w:jc w:val="center"/>
        </w:trPr>
        <w:tc>
          <w:tcPr>
            <w:tcW w:w="1348" w:type="dxa"/>
            <w:vMerge w:val="restart"/>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t>TB/HIV双重感染防治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12. 艾滋病病毒感染者和艾滋病病人接受结核病检查的比例</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s="Arial"/>
                <w:color w:val="000000"/>
                <w:sz w:val="28"/>
                <w:szCs w:val="28"/>
              </w:rPr>
            </w:pPr>
            <w:r w:rsidRPr="00174D64">
              <w:rPr>
                <w:rFonts w:ascii="仿宋" w:eastAsia="仿宋" w:hAnsi="仿宋" w:hint="eastAsia"/>
                <w:color w:val="000000"/>
                <w:sz w:val="28"/>
                <w:szCs w:val="28"/>
              </w:rPr>
              <w:t>2011年－2015年6月，每年接受过结核病症状筛查的艾滋病病毒感染者和艾滋病患者（HIV/AIDS）占当年可随访的HIV/AIDS人数的比例。</w:t>
            </w:r>
            <w:r w:rsidRPr="00174D64">
              <w:rPr>
                <w:rFonts w:ascii="仿宋" w:eastAsia="仿宋" w:hAnsi="仿宋" w:hint="eastAsia"/>
                <w:color w:val="000000"/>
                <w:sz w:val="28"/>
                <w:szCs w:val="28"/>
              </w:rPr>
              <w:br w:type="textWrapping" w:clear="all"/>
              <w:t>公式：接受结核病可疑症状筛查的HIV/AIDS人数/当年可随访的HIV/AIDS数×100％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13. 重点县新登记结核病患者接受艾滋病病毒抗体检测的比例</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s="Arial"/>
                <w:color w:val="000000"/>
                <w:sz w:val="28"/>
                <w:szCs w:val="28"/>
              </w:rPr>
            </w:pPr>
            <w:r w:rsidRPr="00174D64">
              <w:rPr>
                <w:rFonts w:ascii="仿宋" w:eastAsia="仿宋" w:hAnsi="仿宋" w:hint="eastAsia"/>
                <w:color w:val="000000"/>
                <w:sz w:val="28"/>
                <w:szCs w:val="28"/>
              </w:rPr>
              <w:t>2011年－2015年6月，每年艾滋病高、中流行县（区）内接受艾滋病病毒（HIV）抗体检测的结核患者数占同期登记的结核病患者人数的比例。</w:t>
            </w:r>
            <w:r w:rsidRPr="00174D64">
              <w:rPr>
                <w:rFonts w:ascii="仿宋" w:eastAsia="仿宋" w:hAnsi="仿宋" w:hint="eastAsia"/>
                <w:color w:val="000000"/>
                <w:sz w:val="28"/>
                <w:szCs w:val="28"/>
              </w:rPr>
              <w:br w:type="textWrapping" w:clear="all"/>
              <w:t>公式：接受HIV抗体检测人数/同期登记结核病患者人数×100％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val="restart"/>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autoSpaceDN w:val="0"/>
              <w:spacing w:line="240" w:lineRule="auto"/>
              <w:rPr>
                <w:rFonts w:ascii="仿宋" w:eastAsia="仿宋" w:hAnsi="仿宋"/>
                <w:color w:val="000000"/>
                <w:sz w:val="28"/>
                <w:szCs w:val="28"/>
              </w:rPr>
            </w:pPr>
            <w:r w:rsidRPr="00174D64">
              <w:rPr>
                <w:rFonts w:ascii="仿宋" w:eastAsia="仿宋" w:hAnsi="仿宋" w:hint="eastAsia"/>
                <w:color w:val="000000"/>
                <w:sz w:val="28"/>
                <w:szCs w:val="28"/>
              </w:rPr>
              <w:lastRenderedPageBreak/>
              <w:t>流动人口结核病防治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14. 流动人口肺结核患者的成功治疗率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s="Arial"/>
                <w:color w:val="000000"/>
                <w:sz w:val="28"/>
                <w:szCs w:val="28"/>
              </w:rPr>
            </w:pPr>
            <w:r w:rsidRPr="00174D64">
              <w:rPr>
                <w:rFonts w:ascii="仿宋" w:eastAsia="仿宋" w:hAnsi="仿宋" w:hint="eastAsia"/>
                <w:color w:val="000000"/>
                <w:sz w:val="28"/>
                <w:szCs w:val="28"/>
              </w:rPr>
              <w:t>2011年－2014年，每年成功治疗的流动人口肺结核病患者例数占当年登记的流动人口肺结核患者总数的比例。</w:t>
            </w:r>
            <w:r w:rsidRPr="00174D64">
              <w:rPr>
                <w:rFonts w:ascii="仿宋" w:eastAsia="仿宋" w:hAnsi="仿宋" w:hint="eastAsia"/>
                <w:color w:val="000000"/>
                <w:sz w:val="28"/>
                <w:szCs w:val="28"/>
              </w:rPr>
              <w:br w:type="textWrapping" w:clear="all"/>
              <w:t>公式：成功治疗的流动人口肺结核患者数/登记的流动人口肺结核患者数×100％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r w:rsidR="00174D64" w:rsidRPr="00174D64" w:rsidTr="00174D64">
        <w:trPr>
          <w:cantSplit/>
          <w:trHeight w:val="907"/>
          <w:jc w:val="center"/>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djustRightInd/>
              <w:snapToGrid/>
              <w:spacing w:line="240" w:lineRule="auto"/>
              <w:jc w:val="left"/>
              <w:rPr>
                <w:rFonts w:ascii="仿宋" w:eastAsia="仿宋" w:hAnsi="仿宋"/>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15. 跨区域肺结核患者到位信息反馈率</w:t>
            </w:r>
          </w:p>
        </w:tc>
        <w:tc>
          <w:tcPr>
            <w:tcW w:w="7507"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s="Arial"/>
                <w:color w:val="000000"/>
                <w:sz w:val="28"/>
                <w:szCs w:val="28"/>
              </w:rPr>
            </w:pPr>
            <w:r w:rsidRPr="00174D64">
              <w:rPr>
                <w:rFonts w:ascii="仿宋" w:eastAsia="仿宋" w:hAnsi="仿宋" w:hint="eastAsia"/>
                <w:color w:val="000000"/>
                <w:sz w:val="28"/>
                <w:szCs w:val="28"/>
              </w:rPr>
              <w:t>2011年－2015年6月，每年转入地结防机构对所有转入的跨区域肺结核患者，向转出地结防机构发送到位反馈单的比例；或转出地结防机构转出的所有肺结核患者中收到转入地结防机构到位反馈单患者的比例。</w:t>
            </w:r>
            <w:r w:rsidRPr="00174D64">
              <w:rPr>
                <w:rFonts w:ascii="仿宋" w:eastAsia="仿宋" w:hAnsi="仿宋" w:hint="eastAsia"/>
                <w:color w:val="000000"/>
                <w:sz w:val="28"/>
                <w:szCs w:val="28"/>
              </w:rPr>
              <w:br w:type="textWrapping" w:clear="all"/>
              <w:t>公式：转入患者到位反馈率＝发送到位反馈单至转出地的患者数/转入的患者数×100％</w:t>
            </w:r>
            <w:r w:rsidRPr="00174D64">
              <w:rPr>
                <w:rFonts w:ascii="仿宋" w:eastAsia="仿宋" w:hAnsi="仿宋" w:hint="eastAsia"/>
                <w:color w:val="000000"/>
                <w:sz w:val="28"/>
                <w:szCs w:val="28"/>
              </w:rPr>
              <w:br w:type="textWrapping" w:clear="all"/>
              <w:t>转出患者到位反馈率＝收到转入地到位反馈单的患者数/转出的患者数×100％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74D64" w:rsidRPr="00174D64" w:rsidRDefault="00174D64">
            <w:pPr>
              <w:widowControl/>
              <w:autoSpaceDN w:val="0"/>
              <w:spacing w:line="240" w:lineRule="auto"/>
              <w:jc w:val="left"/>
              <w:rPr>
                <w:rFonts w:ascii="仿宋" w:eastAsia="仿宋" w:hAnsi="仿宋"/>
                <w:color w:val="000000"/>
                <w:sz w:val="28"/>
                <w:szCs w:val="28"/>
              </w:rPr>
            </w:pPr>
            <w:r w:rsidRPr="00174D64">
              <w:rPr>
                <w:rFonts w:ascii="仿宋" w:eastAsia="仿宋" w:hAnsi="仿宋" w:hint="eastAsia"/>
                <w:color w:val="000000"/>
                <w:sz w:val="28"/>
                <w:szCs w:val="28"/>
              </w:rPr>
              <w:t>省、地（市）、县（区）</w:t>
            </w:r>
          </w:p>
        </w:tc>
      </w:tr>
    </w:tbl>
    <w:p w:rsidR="00174D64" w:rsidRPr="00174D64" w:rsidRDefault="00174D64" w:rsidP="00174D64">
      <w:pPr>
        <w:autoSpaceDN w:val="0"/>
        <w:spacing w:line="579" w:lineRule="exact"/>
        <w:rPr>
          <w:rFonts w:ascii="仿宋" w:eastAsia="仿宋" w:hAnsi="仿宋" w:hint="eastAsia"/>
          <w:sz w:val="28"/>
          <w:szCs w:val="28"/>
        </w:rPr>
      </w:pPr>
    </w:p>
    <w:p w:rsidR="000B5C86" w:rsidRPr="00174D64" w:rsidRDefault="000B5C86">
      <w:pPr>
        <w:rPr>
          <w:rFonts w:ascii="仿宋" w:eastAsia="仿宋" w:hAnsi="仿宋"/>
          <w:sz w:val="28"/>
          <w:szCs w:val="28"/>
        </w:rPr>
      </w:pPr>
    </w:p>
    <w:sectPr w:rsidR="000B5C86" w:rsidRPr="00174D64" w:rsidSect="00174D6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D64"/>
    <w:rsid w:val="000A40A7"/>
    <w:rsid w:val="000B5C86"/>
    <w:rsid w:val="00174D64"/>
    <w:rsid w:val="001C0196"/>
    <w:rsid w:val="004F6570"/>
    <w:rsid w:val="00561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64"/>
    <w:pPr>
      <w:widowControl w:val="0"/>
      <w:adjustRightInd w:val="0"/>
      <w:snapToGrid w:val="0"/>
      <w:spacing w:line="620" w:lineRule="exact"/>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344834">
      <w:bodyDiv w:val="1"/>
      <w:marLeft w:val="0"/>
      <w:marRight w:val="0"/>
      <w:marTop w:val="0"/>
      <w:marBottom w:val="0"/>
      <w:divBdr>
        <w:top w:val="none" w:sz="0" w:space="0" w:color="auto"/>
        <w:left w:val="none" w:sz="0" w:space="0" w:color="auto"/>
        <w:bottom w:val="none" w:sz="0" w:space="0" w:color="auto"/>
        <w:right w:val="none" w:sz="0" w:space="0" w:color="auto"/>
      </w:divBdr>
      <w:divsChild>
        <w:div w:id="69122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2015-10-19T03:12:00Z</dcterms:created>
  <dcterms:modified xsi:type="dcterms:W3CDTF">2015-10-19T03:57:00Z</dcterms:modified>
</cp:coreProperties>
</file>