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" w:eastAsia="zh-CN" w:bidi="ar-SA"/>
        </w:rPr>
        <w:t>附件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" w:eastAsia="zh-CN" w:bidi="ar-SA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聚焦高质量发展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探索精细化成本管控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——医用非收（计）费耗材节支降耗新举措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2"/>
          <w:szCs w:val="32"/>
          <w:lang w:val="en-US" w:eastAsia="zh-CN" w:bidi="ar-SA"/>
        </w:rPr>
        <w:t>福建省肿瘤医院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center"/>
        <w:rPr>
          <w:rFonts w:hint="default" w:ascii="Times New Roman" w:hAnsi="Times New Roman" w:eastAsia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center"/>
        <w:rPr>
          <w:rFonts w:hint="eastAsia" w:ascii="Times New Roman" w:hAnsi="Times New Roman" w:eastAsia="仿宋" w:cs="Times New Roman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一</w:t>
      </w:r>
      <w:r>
        <w:rPr>
          <w:rFonts w:hint="eastAsia" w:ascii="黑体" w:hAnsi="黑体" w:eastAsia="黑体" w:cs="黑体"/>
          <w:szCs w:val="32"/>
        </w:rPr>
        <w:t>、背景介绍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随着医改进入深水区和攻坚期，公立医院需要从“规模扩张”向“内涵发展”转变。对成本控制进行精细管理，是公立医院由粗放式发展向高质量发展的必然要求。医用耗材管理是医院成本控制的重要内容和关键环节，对降低医院运行成本，降低医疗费用，减轻患者就医负担具有重要意义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在医用耗材采购环节，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当前主要问题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销售垄断，部分耗材供应商具有较大的话语权，医院定价能力偏弱，如专机专用耗材；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由于医用耗材种类多、数量大，且国家对于医用耗材的名称没有统一的标准，一些同名称的医用耗材又有不同的型号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分支、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不同生产厂家，采购比价混乱；三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临床工作中的医用耗材使用缺乏科学合理的领用要求及管理措施，耗材管理部门基本不会对耗材的使用情况进行深入追踪了解。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随着国家各项政策的推荐与各项标准的逐步完善，医院对高值耗材的管理与规范使用已经较为重视，但对于非收（计）费耗材这类相对低值的耗材管理较少。近年来非收（计）费耗材的品类逐渐增多，单个非收（计）费耗材的价值虽然不高，但其用量巨大，在医院成本支出中所占比重呈上升趋势。针对该种情况，医院决定展开非收（计）费耗材价格谈判工作，逐步挤压耗材虚高的价格水分，从而有效降低医疗成本，减轻患者负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70" w:lineRule="exact"/>
        <w:ind w:firstLine="640" w:firstLineChars="200"/>
        <w:textAlignment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二</w:t>
      </w:r>
      <w:r>
        <w:rPr>
          <w:rFonts w:hint="eastAsia" w:ascii="黑体" w:hAnsi="黑体" w:eastAsia="黑体" w:cs="黑体"/>
          <w:szCs w:val="32"/>
        </w:rPr>
        <w:t>、亮点做法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（一）一把手带队，成立管理专班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医院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领导班子高度重视非收（计）费医用耗材价格谈判工作，在医院医学装备管理委员会下成立专项工作领导小组及办公室，由院长担任小组组长，院领导班子成员担任副组长，参与每场价格谈判。统一思想、统一部署、统一实施，成员覆盖各相关科室负责人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有利强化了医院耗材管理力度，规范工作秩序，提高工作效率。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各部门协作，明确责任分工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7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专项工作领导小组指导下，由设备部门与财务部门联合牵头，设备部门负责日常工作的组织协调，财务部门对成本进行测算并进行全程成本监控。设备科、检验科、病理科、医务科、护理部、供应室、放诊科等科室细化责任、明确分工，根据职责范围及工作流程紧密配合、有序推进专项工作；财务、纪检、审计部门全程介入，履行监管职责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。执行科学规范的工作流程（见图1），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强化对关键少数和关键岗位环节的监督管理，从而实现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全员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参与的医用耗材精细化管理体系。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59055</wp:posOffset>
            </wp:positionV>
            <wp:extent cx="5212715" cy="5161915"/>
            <wp:effectExtent l="0" t="0" r="6985" b="635"/>
            <wp:wrapTight wrapText="bothSides">
              <wp:wrapPolygon>
                <wp:start x="8052" y="0"/>
                <wp:lineTo x="5447" y="80"/>
                <wp:lineTo x="5447" y="1196"/>
                <wp:lineTo x="316" y="1435"/>
                <wp:lineTo x="237" y="2631"/>
                <wp:lineTo x="1105" y="3747"/>
                <wp:lineTo x="6078" y="3826"/>
                <wp:lineTo x="5999" y="4863"/>
                <wp:lineTo x="6868" y="5102"/>
                <wp:lineTo x="10104" y="5102"/>
                <wp:lineTo x="7973" y="6377"/>
                <wp:lineTo x="6710" y="6855"/>
                <wp:lineTo x="6710" y="7015"/>
                <wp:lineTo x="8367" y="7653"/>
                <wp:lineTo x="316" y="7971"/>
                <wp:lineTo x="316" y="8689"/>
                <wp:lineTo x="10104" y="8928"/>
                <wp:lineTo x="6789" y="10443"/>
                <wp:lineTo x="6868" y="10761"/>
                <wp:lineTo x="8841" y="11479"/>
                <wp:lineTo x="10025" y="12754"/>
                <wp:lineTo x="8210" y="12754"/>
                <wp:lineTo x="8210" y="14030"/>
                <wp:lineTo x="10104" y="14030"/>
                <wp:lineTo x="8288" y="15305"/>
                <wp:lineTo x="6710" y="15863"/>
                <wp:lineTo x="6710" y="16023"/>
                <wp:lineTo x="8052" y="16581"/>
                <wp:lineTo x="10025" y="17856"/>
                <wp:lineTo x="1658" y="17936"/>
                <wp:lineTo x="395" y="18095"/>
                <wp:lineTo x="474" y="20726"/>
                <wp:lineTo x="2605" y="21204"/>
                <wp:lineTo x="7894" y="21523"/>
                <wp:lineTo x="12867" y="21523"/>
                <wp:lineTo x="15235" y="21443"/>
                <wp:lineTo x="15393" y="20566"/>
                <wp:lineTo x="14209" y="20407"/>
                <wp:lineTo x="13025" y="19132"/>
                <wp:lineTo x="21550" y="18175"/>
                <wp:lineTo x="21550" y="17936"/>
                <wp:lineTo x="11051" y="17856"/>
                <wp:lineTo x="12551" y="16581"/>
                <wp:lineTo x="15630" y="16581"/>
                <wp:lineTo x="18235" y="16023"/>
                <wp:lineTo x="18235" y="14030"/>
                <wp:lineTo x="20208" y="14030"/>
                <wp:lineTo x="20208" y="12754"/>
                <wp:lineTo x="18156" y="12754"/>
                <wp:lineTo x="18314" y="10602"/>
                <wp:lineTo x="17840" y="10443"/>
                <wp:lineTo x="14761" y="10203"/>
                <wp:lineTo x="14998" y="9725"/>
                <wp:lineTo x="14603" y="9566"/>
                <wp:lineTo x="11130" y="8928"/>
                <wp:lineTo x="12235" y="7653"/>
                <wp:lineTo x="14130" y="7653"/>
                <wp:lineTo x="16103" y="7015"/>
                <wp:lineTo x="16024" y="3826"/>
                <wp:lineTo x="20682" y="3747"/>
                <wp:lineTo x="20603" y="3507"/>
                <wp:lineTo x="14919" y="2551"/>
                <wp:lineTo x="15077" y="2073"/>
                <wp:lineTo x="14525" y="1833"/>
                <wp:lineTo x="12472" y="1275"/>
                <wp:lineTo x="15314" y="1196"/>
                <wp:lineTo x="15314" y="80"/>
                <wp:lineTo x="12788" y="0"/>
                <wp:lineTo x="8052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2715" cy="516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图1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非收（计）费耗材价格谈判流程图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5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全面摸底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统计</w:t>
      </w:r>
      <w:r>
        <w:rPr>
          <w:rFonts w:hint="default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科学</w:t>
      </w:r>
      <w:r>
        <w:rPr>
          <w:rFonts w:hint="default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细化分析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5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为高效、精准地开展非收（计）费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耗材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价格谈判工作，对在用的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耗材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采购、出库、收费等大数据进行科学梳理。最终确立了以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用的检验科、病理科试剂，输血科非收（计）费耗材，供应室清洗用耗材，胶片，临床使用的敷贴、高压注射器、血糖试纸及其它常用低值耗材为主体的谈判对象，确保在保障质量的前提下开展价格谈判。最终确认参与谈判总金额为8097.8万元（见表1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表1  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非收（计）费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耗材价格谈判分布表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righ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金额单位：万元</w:t>
      </w:r>
    </w:p>
    <w:tbl>
      <w:tblPr>
        <w:tblStyle w:val="7"/>
        <w:tblW w:w="943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411"/>
        <w:gridCol w:w="1628"/>
        <w:gridCol w:w="2150"/>
        <w:gridCol w:w="1357"/>
        <w:gridCol w:w="17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5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科室</w:t>
            </w:r>
          </w:p>
        </w:tc>
        <w:tc>
          <w:tcPr>
            <w:tcW w:w="1411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62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检验科</w:t>
            </w:r>
          </w:p>
        </w:tc>
        <w:tc>
          <w:tcPr>
            <w:tcW w:w="215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病理科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免疫病理室</w:t>
            </w:r>
          </w:p>
        </w:tc>
        <w:tc>
          <w:tcPr>
            <w:tcW w:w="135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输血科</w:t>
            </w:r>
          </w:p>
        </w:tc>
        <w:tc>
          <w:tcPr>
            <w:tcW w:w="1735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其他科室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56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1411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8097.8</w:t>
            </w:r>
          </w:p>
        </w:tc>
        <w:tc>
          <w:tcPr>
            <w:tcW w:w="1628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4333 </w:t>
            </w:r>
          </w:p>
        </w:tc>
        <w:tc>
          <w:tcPr>
            <w:tcW w:w="2150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1887.7 </w:t>
            </w:r>
          </w:p>
        </w:tc>
        <w:tc>
          <w:tcPr>
            <w:tcW w:w="1357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228 </w:t>
            </w:r>
          </w:p>
        </w:tc>
        <w:tc>
          <w:tcPr>
            <w:tcW w:w="1735" w:type="dxa"/>
            <w:tcBorders>
              <w:top w:val="single" w:color="080000" w:sz="8" w:space="0"/>
              <w:left w:val="single" w:color="080000" w:sz="8" w:space="0"/>
              <w:bottom w:val="single" w:color="080000" w:sz="8" w:space="0"/>
              <w:right w:val="single" w:color="08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1649.1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5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（四）分批分次开展，灵活多样谈判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1.先易后难、先大后小的策略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通过采取先易后难、先大后小的策略，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用量大、金额高的非收（计）费医用耗材品种入手，奠定了谈判的基调和氛围。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2.推进 “一票制”采购模式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贯彻省医保局“坚持两票制，鼓励一票制”精神，鼓励有条件的厂家可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直接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配送，既减少中间环节产生的差价，又压缩了临床的回扣空间。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3.谈判方式灵活、多样化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结合医院实际，遵循“严格管理，确保质量，保障供应，降低成本”的原则，根据非收（计）费医用耗材不同的使用金额、使用科室、使用情况，采取价格磋商和公开遴选相结合的办法，精准定位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谈判对象，制定合适的谈判方案。同时，借助“承诺至少保证2019年相同采购量”以及“压缩回款时间到2个月以内”等措施，增加专项谈判工作的灵活性和可操作性。共开展9批次谈判工作（见表2）。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表2 非收（计）费耗材价格谈判批次情况表</w:t>
      </w:r>
    </w:p>
    <w:tbl>
      <w:tblPr>
        <w:tblStyle w:val="7"/>
        <w:tblW w:w="891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7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tblHeader/>
        </w:trPr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批次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谈判内容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  <w:t>第一批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  <w:t>病理科、检验科专机专用试剂等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  <w:t>第二批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  <w:t>病理科、检验科专机专用试剂等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  <w:t>第三批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  <w:t>病理科试剂及耗材、透明敷料、打印胶片、高压注射器针筒等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  <w:t>第四批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  <w:t>供应室清洗、消毒类耗材、血糖试纸、部分内镜用耗材、全院使用的棉纱制品等低值耗材等</w:t>
            </w:r>
          </w:p>
        </w:tc>
      </w:tr>
      <w:tr>
        <w:trPr>
          <w:trHeight w:val="500" w:hRule="atLeast"/>
        </w:trPr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  <w:t>第五批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  <w:t>放诊科一次性使用压力连接管、麻醉科、ICU麻醉呼吸管路及热湿交换过滤器、心肺室呼吸回路过滤器等</w:t>
            </w:r>
          </w:p>
        </w:tc>
      </w:tr>
      <w:tr>
        <w:trPr>
          <w:trHeight w:val="339" w:hRule="atLeast"/>
        </w:trPr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  <w:t>第六批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  <w:t>邻苯二甲醛消毒液、器械润滑剂、灭菌包装无纺布等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  <w:t>第七批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  <w:t>造口类非收（计）费耗材、手消液及其他年使用10万元以下的非收（计）费耗材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  <w:t>第八批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  <w:t>检验科、病理科2019年使用总额10万以下的非收（计）费耗材、输血科非收（计）费耗材</w:t>
            </w:r>
          </w:p>
        </w:tc>
      </w:tr>
      <w:tr>
        <w:trPr>
          <w:trHeight w:val="499" w:hRule="atLeast"/>
        </w:trPr>
        <w:tc>
          <w:tcPr>
            <w:tcW w:w="1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  <w:t>第九批</w:t>
            </w:r>
          </w:p>
        </w:tc>
        <w:tc>
          <w:tcPr>
            <w:tcW w:w="7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0" w:type="dxa"/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90" w:lineRule="exact"/>
              <w:ind w:lef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0"/>
                <w:szCs w:val="30"/>
                <w:lang w:val="en-US" w:eastAsia="zh-CN" w:bidi="ar-SA"/>
              </w:rPr>
              <w:t>病理科免疫组化一抗、FISH试剂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三</w:t>
      </w:r>
      <w:r>
        <w:rPr>
          <w:rFonts w:hint="eastAsia" w:ascii="黑体" w:hAnsi="黑体" w:eastAsia="黑体" w:cs="黑体"/>
          <w:szCs w:val="32"/>
        </w:rPr>
        <w:t>、</w:t>
      </w:r>
      <w:r>
        <w:rPr>
          <w:rFonts w:hint="default" w:ascii="黑体" w:hAnsi="黑体" w:eastAsia="黑体" w:cs="黑体"/>
          <w:szCs w:val="32"/>
        </w:rPr>
        <w:t>实施效果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通过本次非收（计）费医用耗材价格谈判专项工作，合计谈判供货商117家次，谈判金额8097.8万元，合计降价金额1344.1万元，降幅16.6%，降低了医院运行成本。其中检验科耗材及试剂谈判金额4333万元，合计降价金额685.7万元，降幅15.8%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病理科耗材及试剂谈判金额1887.7万元，合计降价金额260.8万元，降幅13.8%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输血科耗材及试剂谈判金额228万元，合计降价金额31.2万元，降幅13.7%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其他科室非收（计）费医用耗材降谈判金额1649.1万元，合计降价金额366.5万元，降幅22.2%。因无法按照我院标准降价最终同意放弃的金额80.5万元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见表3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表3 非收（计）费耗材价格谈判降价统计表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righ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金额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单位：万元</w:t>
      </w:r>
    </w:p>
    <w:tbl>
      <w:tblPr>
        <w:tblStyle w:val="7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1230"/>
        <w:gridCol w:w="1260"/>
        <w:gridCol w:w="1860"/>
        <w:gridCol w:w="1275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科室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检验科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病理科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免疫病理室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输血科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2019年总出库金额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8097.8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4333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1887.7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228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1649.1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累计降价金额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1344.1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685.7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260.8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31.2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366.5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降幅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16.6%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15.8%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13.8%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13.7%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22.2%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放弃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80.5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16.6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56.2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7.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谈判新增供货厂家品牌产品12项，比例低于3%，在保证专项工作稳健开展和临床安全过渡的基础上，淘汰了一批技术落后、性价比低、收益比低的耗材及试剂，对非收（计）费医用耗材及试剂目录进行精细化梳理，进一步规范我耗材试剂管理和临床应用管理。医院总结经验，以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-SA"/>
        </w:rPr>
        <w:t>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举措为主题，参加国家卫生健康委能力建设和继续教育中心举办的2021年度中国现代医院管理典型案例评选，荣获医院财务管理典型案例。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474" w:bottom="1701" w:left="1587" w:header="283" w:footer="1417" w:gutter="0"/>
      <w:pgNumType w:fmt="decimal" w:start="15"/>
      <w:cols w:space="72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660C6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qFormat/>
    <w:uiPriority w:val="0"/>
    <w:pPr>
      <w:widowControl w:val="0"/>
      <w:spacing w:after="12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spacing w:line="360" w:lineRule="auto"/>
      <w:jc w:val="left"/>
    </w:pPr>
    <w:rPr>
      <w:rFonts w:ascii="宋体" w:hAnsi="宋体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2022-06-02T00:49:51Z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D2CE7F9921FD430FA9536D9D226B93B5</vt:lpwstr>
  </property>
</Properties>
</file>