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福建省计划生育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补助中央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转移支付20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年度绩效自评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（一）中央下达计划生育转移支付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中央下达福建省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计划生育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转移支付资金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19493万元（含厦门1021万元），其中：《财政部 国家卫生健康委关于提前下达2023年计划生育转移支付资金预算的通知》（财社〔2022〕133号）下达15392万元；《财政部 国家卫生健康委关于下达2023年计划生育转移支付资金预算的通知》（财社〔2023〕37号）下达4101万元，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绩效目标随资金文件同步下达。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）省内资金安排、分解下达预算和绩效目标情况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，福建省级财政下达计划生育转移支付资金85418.69万元（不含厦门，下同），其中：中央资金18472万元，地方资金66946.69万元。该资金主要用于计划生育家庭奖励扶助。同时，将计划生育转移支付资金绩效目标分解下达，要求各地严格落实绩效管理主体责任，认真对照目标加强跟踪管理，确保保质保量完成绩效目标，切实提高财政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1.《福建省财政厅 福建省卫生健康委员会关于提前下达2023年卫生健康转移支付补助资金（第一批）的通知》（闽财社指〔2022〕62号）下达省级补助资金59162万元。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2.《福建省财政厅 福建省卫生健康委员会关于提前下达2023年卫生健康转移支付补助资金（第二批）的通知》（闽财社指〔2022〕91号）下达中央补助资金14646万元。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3.《福建省财政厅 福建省卫生健康委员会关于下达2023年计划生育转移支付资金的通知》（闽财社指〔2023〕31号）下达资金11610.69万元，其中：中央补助资金3826万元，省级补助资金7784.69万元。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2023年福建省各级财政共投入资金177509.5万元，其中：中央资金19493万元（含厦门），地方资金157659.93万元，其他资金356.57万元。2023年实际共支出170421.21万元，执行率为96.01%。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（二）资金管理情况分析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1.规范资金使用。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各地严格按照《福建省计划生育转移支付资金管理办法》相关规定，进一步规范资金的分配和使用管理，做到专款专用。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2.完善运行机制。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将计划生育服务项目资金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分配使用</w:t>
      </w:r>
      <w:r>
        <w:rPr>
          <w:rFonts w:hint="eastAsia" w:ascii="仿宋_GB2312" w:hAnsi="仿宋_GB2312" w:eastAsia="仿宋_GB2312" w:cs="仿宋_GB2312"/>
          <w:sz w:val="32"/>
          <w:szCs w:val="32"/>
        </w:rPr>
        <w:t>纳入全省卫生健康工作重点，纳入年度计划生育目标责任考核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按照资格确认、资金管理、资金发放和社会监督“四权分离”原则，建立“财政管理、开设专户、直接补助、到户到人”的工作模式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3.强化监督检查。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卫健委组织所有设区市进行交叉检查，覆盖所有计划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生育扶助、补助项目，倒查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3年，比例超过20%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（三）总体绩效目标完成情况分析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底，及时下达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关于做好20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年计划生育家庭扶助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、补助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对象资格确认和目标人数申报工作的通知，要求各级卫生健康行政部门严格按照国家及我省有关规定要求，认真做好20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年度部分计划生育家庭奖励扶助、特别扶助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对象资格确认工作，并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汇总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报送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本地区确认资格对象情况。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，及时对系统检出的数据进行逐个核查、更正，印发《福建省卫生健康委员会关于开展2023年计划生育奖励、扶助制度数据抽查复核工作的通知》（闽卫人口函〔2023〕1638号），组织设区市交叉检查，加强基层信息共享，把牢审核关。2023年，全省七项计划生育奖励扶助制度，涉及对象300多万人，发放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确率超过99.97%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。国家两项补助完成率10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农村部分计划生育家庭奖励扶助人数。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271382人，实际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276638人。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独生子女伤残家庭扶助人数。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9525人，实际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9524人。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独生子女死亡家庭扶助人数。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12760人，实际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12764人。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手术并发症补助人数。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160人，实际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质量指标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符合条件对象覆盖率。通过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加强监督检查，进一步规范补助资金受理、审核、发放工作流程，督促</w:t>
      </w:r>
      <w:r>
        <w:rPr>
          <w:rFonts w:hint="eastAsia" w:ascii="仿宋_GB2312" w:hAnsi="仿宋_GB2312" w:eastAsia="仿宋_GB2312" w:cs="仿宋_GB2312"/>
          <w:sz w:val="32"/>
          <w:szCs w:val="32"/>
        </w:rPr>
        <w:t>基层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计划生育奖励扶助工作，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符合条件申报对象覆盖率达到100%。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（3）时效指标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时效指标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奖励和扶助资金到位率。中央和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省级资金均及时、足额到位，资金到位率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农村部分计划生育家庭奖励扶助投入。2023年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为不低于1200元每人每月，实际完成值为不低于1200元每人每月。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农村部分计划生育低保家庭奖励扶助投入。2023年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为不低于2400元每人每月，实际完成值为不低于2400元每人每月。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计划生育特别扶助对象（49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59周岁）投入。2023年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为不低于750元每人每月，实际完成值为不低于750元每人每月。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计划生育特别扶助对象（60周岁以上）投入。2023年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为不低于850元每人每月，实际完成值为不低于850元每人每月。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计划生育特别扶助低保对象（49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59周岁）投入。2023年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为不低于1040元每人每月，实际完成值为不低于1040元每人每月。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计划生育特别扶助低保对象（60周岁以上）投入。2023年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为不低于1140元每人每月，实际完成值为不低于1140元每人每月。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成本指标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计划生育手术并发症补助投入。2023年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为一级不低于720元每人每月，二级不低于490元每人每月，三级不低于360元每人每月，实际完成值为一级不低于720元每人每月，二级不低于490元每人每月，三级不低于360元每人每月。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2.效益指标完成情况分析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社会效益指标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家庭发展能力。2023年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绩效指标值为家庭发展能力逐步提高，实际已完成绩效指标。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计划生育家庭奖励扶助制度弥补因减少生育子女或子女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伤</w:t>
      </w:r>
      <w:r>
        <w:rPr>
          <w:rFonts w:hint="eastAsia" w:ascii="仿宋_GB2312" w:hAnsi="仿宋_GB2312" w:eastAsia="仿宋_GB2312" w:cs="仿宋_GB2312"/>
          <w:sz w:val="32"/>
          <w:szCs w:val="32"/>
        </w:rPr>
        <w:t>残死亡导致养老能力不足，也有利于促进人口和计划生育工作向依法管理、利益导向和优质服务方向转变，有利于促进人口老龄化问题的解决和社会保障制度的逐步完善。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社会效益指标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社会稳定水平。2023年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绩效指标值为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社会稳定水平逐步提高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，实际已完成绩效指标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城乡部分计划生育家庭奖励扶助制度提升了计划生育家庭发展能力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计划生育特殊家庭应对生活困难的能力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得到提升，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缓解了对象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养老难、就医难、住院护理难等问题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，在精神上也给予对象最大的安慰，近年来群众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满意度提高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，群众反映较好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2" w:firstLineChars="20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3.满意度指标完成情况分析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服务对象满意度指标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" w:eastAsia="zh-CN"/>
        </w:rPr>
        <w:t>——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群众满意度。2023年绩效指标值为85%，实际完成值为95%。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各领域未发现目标偏离情况。在完成中央项目的基础上，福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建省将农村部分计划生育家庭奖励扶助制度扩大到除行政机关、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企业事业单位工作人员外的城镇对象，且标准高于国家，厦门市实行全覆盖。计划生育家庭特别扶助标准高于国家。此外，增加农村部分计划生育家庭贡献奖励、农村二女家庭奖励、计划生育家庭医保补助等省级补助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四、绩效自评结果拟应用和公开情况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通过专项资金绩效自评进一步完善项目管理，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加大考核力度。每年将各地城乡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部分计划生育家庭奖励扶助和计划生育家庭特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别</w:t>
      </w:r>
      <w:r>
        <w:rPr>
          <w:rFonts w:hint="eastAsia" w:ascii="仿宋_GB2312" w:hAnsi="仿宋_GB2312" w:eastAsia="仿宋_GB2312" w:cs="仿宋_GB2312"/>
          <w:sz w:val="32"/>
          <w:szCs w:val="32"/>
        </w:rPr>
        <w:t>扶助的执行情况纳入年度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综合督查内容；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加大社会监督。实行资格确认公示制度，县乡村三级按规范要求对确认后扶助对象名单通过公示栏、网站、新闻媒体等渠道进行公示，对公示过程群众提出异议的对象，认真组织复查核实，并将核实情况重新公示，无异议后再行上报或确认。各级卫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部门均设立举报电话及举报信箱，对群众举报的对象，组织人员认真进行核查，有差错的追究相关人员责任。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省卫健委会同省财政厅就重大传染病防控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绩效自评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自评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结果将作为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分配预算资金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、改进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管理的重要依据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时向社会公开。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五、其他需要说明的问题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31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</w:p>
    <w:sectPr>
      <w:headerReference r:id="rId3" w:type="default"/>
      <w:footerReference r:id="rId4" w:type="default"/>
      <w:pgSz w:w="11906" w:h="16838"/>
      <w:pgMar w:top="1814" w:right="1633" w:bottom="1701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DOqXm5zwAA&#10;AAUBAAAPAAAAAAAAAAEAIAAAADgAAABkcnMvZG93bnJldi54bWxQSwECFAAUAAAACACHTuJAY2xW&#10;edgBAACSAwAADgAAAAAAAAABACAAAAA0AQAAZHJzL2Uyb0RvYy54bWxQSwUGAAAAAAYABgBZAQAA&#10;f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2457A"/>
    <w:rsid w:val="07054F4E"/>
    <w:rsid w:val="083F0ADF"/>
    <w:rsid w:val="13515037"/>
    <w:rsid w:val="13F649FC"/>
    <w:rsid w:val="15DE14CB"/>
    <w:rsid w:val="1FED5B42"/>
    <w:rsid w:val="2F7B1BE8"/>
    <w:rsid w:val="2FB73559"/>
    <w:rsid w:val="329C48E7"/>
    <w:rsid w:val="331B751F"/>
    <w:rsid w:val="36946D31"/>
    <w:rsid w:val="38C444AF"/>
    <w:rsid w:val="3CFD2F1D"/>
    <w:rsid w:val="3D7BF90F"/>
    <w:rsid w:val="3DDC00AE"/>
    <w:rsid w:val="3EB7821F"/>
    <w:rsid w:val="3EBF3E97"/>
    <w:rsid w:val="3F374499"/>
    <w:rsid w:val="3FBF6BE6"/>
    <w:rsid w:val="3FEF8426"/>
    <w:rsid w:val="447A6777"/>
    <w:rsid w:val="456FD00B"/>
    <w:rsid w:val="46F577FC"/>
    <w:rsid w:val="4DD3AB9A"/>
    <w:rsid w:val="53DFACB8"/>
    <w:rsid w:val="545C2A1D"/>
    <w:rsid w:val="546B3CE8"/>
    <w:rsid w:val="56DE8DB4"/>
    <w:rsid w:val="5DEFB251"/>
    <w:rsid w:val="5F3B5698"/>
    <w:rsid w:val="5FBBAC50"/>
    <w:rsid w:val="66CFFBE3"/>
    <w:rsid w:val="66EFE33C"/>
    <w:rsid w:val="677F4D32"/>
    <w:rsid w:val="6AF57291"/>
    <w:rsid w:val="6B2FBE0A"/>
    <w:rsid w:val="6B6D4ED0"/>
    <w:rsid w:val="6BA1B4A0"/>
    <w:rsid w:val="6D105625"/>
    <w:rsid w:val="6DE33503"/>
    <w:rsid w:val="6F7957C7"/>
    <w:rsid w:val="6FF671D8"/>
    <w:rsid w:val="6FFAE489"/>
    <w:rsid w:val="72FF3625"/>
    <w:rsid w:val="75E3CD1B"/>
    <w:rsid w:val="76677695"/>
    <w:rsid w:val="77A4FA41"/>
    <w:rsid w:val="77CBE465"/>
    <w:rsid w:val="77F35055"/>
    <w:rsid w:val="77F597A6"/>
    <w:rsid w:val="786E20C7"/>
    <w:rsid w:val="796FAAA1"/>
    <w:rsid w:val="79BFB205"/>
    <w:rsid w:val="79D26613"/>
    <w:rsid w:val="7BF3A135"/>
    <w:rsid w:val="7BFF64D4"/>
    <w:rsid w:val="7D7F2AA9"/>
    <w:rsid w:val="7D7F8835"/>
    <w:rsid w:val="7DFF7280"/>
    <w:rsid w:val="7DFF7903"/>
    <w:rsid w:val="7E043E3A"/>
    <w:rsid w:val="7E6F12CB"/>
    <w:rsid w:val="7E9C7307"/>
    <w:rsid w:val="7EFB5511"/>
    <w:rsid w:val="7F6701F3"/>
    <w:rsid w:val="7F8C1E11"/>
    <w:rsid w:val="7FBDDE82"/>
    <w:rsid w:val="7FF36DF9"/>
    <w:rsid w:val="7FFA2BCA"/>
    <w:rsid w:val="7FFB06CC"/>
    <w:rsid w:val="7FFFA50E"/>
    <w:rsid w:val="923F4977"/>
    <w:rsid w:val="9BFD6349"/>
    <w:rsid w:val="9EFE37E1"/>
    <w:rsid w:val="9FDD35D0"/>
    <w:rsid w:val="9FFBE89B"/>
    <w:rsid w:val="AEBC2909"/>
    <w:rsid w:val="BABF2A8A"/>
    <w:rsid w:val="BBB3F540"/>
    <w:rsid w:val="BFF70C6A"/>
    <w:rsid w:val="BFFDFCF2"/>
    <w:rsid w:val="C2B3415D"/>
    <w:rsid w:val="CB77BDE3"/>
    <w:rsid w:val="CFAF4298"/>
    <w:rsid w:val="D5D782F9"/>
    <w:rsid w:val="D88FD315"/>
    <w:rsid w:val="DE65CC0D"/>
    <w:rsid w:val="DFDF429A"/>
    <w:rsid w:val="E79B8870"/>
    <w:rsid w:val="E87E4468"/>
    <w:rsid w:val="EDF7E8F2"/>
    <w:rsid w:val="EF7D8D8B"/>
    <w:rsid w:val="EF7FEBB9"/>
    <w:rsid w:val="EFBD7F50"/>
    <w:rsid w:val="EFF75B06"/>
    <w:rsid w:val="F33FF510"/>
    <w:rsid w:val="F55D7567"/>
    <w:rsid w:val="F617B80E"/>
    <w:rsid w:val="F6BF3F6F"/>
    <w:rsid w:val="F6D8AD43"/>
    <w:rsid w:val="F6FFD541"/>
    <w:rsid w:val="F7EFB47B"/>
    <w:rsid w:val="F8BF11B2"/>
    <w:rsid w:val="FBF5E8BB"/>
    <w:rsid w:val="FC6BA76F"/>
    <w:rsid w:val="FD7FFE63"/>
    <w:rsid w:val="FDF86750"/>
    <w:rsid w:val="FE3EB6F0"/>
    <w:rsid w:val="FF7E8563"/>
    <w:rsid w:val="FF9A647C"/>
    <w:rsid w:val="FFBF21B8"/>
    <w:rsid w:val="FFDF5348"/>
    <w:rsid w:val="FFF5A9E0"/>
    <w:rsid w:val="FFFAD4B6"/>
    <w:rsid w:val="FFFF44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Body Text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p0"/>
    <w:qFormat/>
    <w:uiPriority w:val="0"/>
    <w:pPr>
      <w:widowControl/>
      <w:jc w:val="both"/>
    </w:pPr>
    <w:rPr>
      <w:rFonts w:ascii="Times New Roman" w:hAnsi="Times New Roman" w:eastAsia="宋体" w:cs="Times New Roman"/>
      <w:kern w:val="0"/>
      <w:sz w:val="30"/>
      <w:szCs w:val="3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2014-11-08T20:08:00Z</dcterms:created>
  <dc:creator>lenovo</dc:creator>
  <cp:lastModifiedBy>黄翊航</cp:lastModifiedBy>
  <cp:lastPrinted>2024-04-01T11:12:00Z</cp:lastPrinted>
  <dcterms:modified xsi:type="dcterms:W3CDTF">2024-04-11T09:42:40Z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