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240" w:lineRule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福建省检查检验结果互认条件及项目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简体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一、医学影像检查</w:t>
      </w:r>
    </w:p>
    <w:p>
      <w:pPr>
        <w:adjustRightInd w:val="0"/>
        <w:snapToGrid w:val="0"/>
        <w:spacing w:line="590" w:lineRule="exact"/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  <w:t>（一）互认条件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1.取得“放射诊疗许可证”、每年参加并完成原国家卫生计生委办公厅《关于开展医疗卫生专项监督检查工作通知》（国卫办监督函〔2013〕37号）的项目。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2.建设有医学影像信息系统（PACS），并能满足工作需求，PACS能与RIS、HIS完好衔接。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3.技术操作规范，图像处理按诊断的需要进行后处理，图像质量清晰，符合诊断要求，病人基本信息及检查日期准确。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4.医学影像检查的报告和资料的文字符合医疗文件书写规范的要求，字迹清楚，病变相关数据准确。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5.普通的影像报告由主治医师及以上技术职称的医师审核，疑难病例应由具有副主任医师及以上技术职称的医师审核。</w:t>
      </w:r>
    </w:p>
    <w:p>
      <w:pPr>
        <w:adjustRightInd w:val="0"/>
        <w:snapToGrid w:val="0"/>
        <w:spacing w:line="590" w:lineRule="exact"/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  <w:t>（二）互认项目（3类55项）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1.普通放射检查（10项）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（1）数字X成像（DR）：胸部、四肢及关节、脊柱（颈椎、胸椎、腰椎、骶椎）、骨盆、腹部（立位、卧位、倒立位）摄片。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（2）数字化平板乳腺摄片检查（CC、MLO位）、必要时局部加压。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2.CT检查（21项）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（1）头颅平扫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（2）副鼻窦平扫（轴位及冠状位多平面重建）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（3）鼻咽部平扫+增强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（4）颈部平扫+增强（颈部CT平扫不作为互认项目）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（5）胸部平扫（含薄层轴位像及病灶区多平面重建像）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（6）胸部平扫+增强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（7）上腹部平扫+增强（三期扫描）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（8）中腹部平扫+增强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（9）下腹部平扫+增强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（10）头颈部CTA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（11）冠脉CTA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（12）肺动脉CTA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（13）胸腹主CTA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（14）左房肺静脉CTA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（15）双肾盂输尿管膀胱CTU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（16）颈椎间盘CT平扫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（17）胸椎CT平扫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（18）腰椎间盘CT平扫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（19）下肢动脉CTA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（20）内听道CT平扫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（21）四肢CT平扫+三维重建+多平面重建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3.MRI检查（24项）：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（1）颅脑平扫（T1WI，T2WI，FLAIR，DWI）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（2）颅脑平扫+增强（T1WI、T2WI、FLAIR，DWI）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（3）垂体（平扫+动态增强）（T1WI、T2WI）/（Sag，Cor）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（4）颈部（平扫）（T1WI、T2WI）/（Tra，Cor）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（5）颈部（平扫+增强）（T1WI、T2WI）/（Tra，sag，Cor）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（6）脊柱平扫（T1WI、T2WI）/（Tra，Sag）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（7）脊柱平扫+增强（T1WI、T2WI）/（Tra，Sag、Cor）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（8）上腹部平扫（T1WI、T2W/压脂T2WI）/（Tra，Cor或Sag、DWI）</w:t>
      </w:r>
    </w:p>
    <w:p>
      <w:pPr>
        <w:tabs>
          <w:tab w:val="left" w:pos="3780"/>
        </w:tabs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（9）上腹部（平扫+动态增强）（T1WI、T2WI/压脂T2WI）/（Tra，Cor或Sag、DWI）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（10）下腹部平扫（T1WI、T2WI/压脂T2WI）/（Tra，Cor或Sag，DWI）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（11）下腹部（平扫+动态增强）（T1WI、T2WI/压脂T2WI）/（Tra，Cor或Sag，DWI）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（12）双髋关节（T1WI、T2WI、压脂T2WI）/（Tra，Cor）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（13）膝关节（T1WI、T2WI、PDWI或压脂T2WI）/（Cor，Sag、Tra（或重建的Tra）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（14）乳腺平扫（T1WI、压脂T2WI、DWI）/（Tra、Sag或Cor）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（15）乳腺（平扫+动态增强）（T1WI、压脂T2WI、DWI）/（Tra、Sag或Cor）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（16）颅脑MRA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（17）颅脑MRA（增强）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（18）颅脑MRV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（19）颅脑MRV（增强）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（20）颈部MRA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（21）颈部MRA（增强）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（22）内耳平扫（T1WI、T2WI）/（Tra、Cor）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（23）内耳水成像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（24）四肢小关节（平扫）（包括肘关节、踝关节、肩关节等）（T1WI、T2WI、PDWI或压脂T2WI）（Cor、Tra+Sag）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二、医学检验</w:t>
      </w:r>
    </w:p>
    <w:p>
      <w:pPr>
        <w:adjustRightInd w:val="0"/>
        <w:snapToGrid w:val="0"/>
        <w:spacing w:line="590" w:lineRule="exact"/>
        <w:ind w:firstLine="630" w:firstLineChars="196"/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</w:pPr>
      <w:bookmarkStart w:id="0" w:name="_Hlt370736416"/>
      <w:bookmarkStart w:id="1" w:name="_Hlt370736415"/>
      <w:r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  <w:t>（一）互认条件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1.实验室具有信息系统（LIS），并能满足实验室工作需求，LIS能与HIS完好衔接，所有检测设备的室内质控数据能自动导入LIS中。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规范开展室内质控，工作人员能掌握室内质控相关知识，互认项目能规范地开展室内质控活动，对失控项目能分析原因，并采取相应的纠正措施。实验室及信息科能配合相关部门，通过我省居民健康档案信息系统网络，使LIS中的室内质控数据能适时上传至省临检中心质量管理平台。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ar"/>
        </w:rPr>
        <w:t>3.实验室应制定文件化程序，定期（按相关专业要求）对直接或间接影响检验结果的设备进行校准。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4.参加福建省临床检验中心组织的室间质量评价，并至少符合以下2个条件之一：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（1）省临床检验中心前一年的室间质评成绩合格；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（2）国家卫生健康委临床检验中心前一年的室间质评合格。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5.医疗机构内采用不同检测系统检测同一项目时应定期（每年至少2次）进行结果的比对，实验室应有比对程序及相应的SOP。使用不同参考区间的检测系统间不宜进行结果比对。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6.三级甲等医疗机构实验室应适时对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bidi="ar"/>
        </w:rPr>
        <w:t>检验方法和程序的分析性能进行验证，有条件的其他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医疗机构实验室宜参照执行。</w:t>
      </w:r>
    </w:p>
    <w:p>
      <w:pPr>
        <w:numPr>
          <w:ilvl w:val="0"/>
          <w:numId w:val="1"/>
        </w:numPr>
        <w:adjustRightInd w:val="0"/>
        <w:snapToGrid w:val="0"/>
        <w:spacing w:line="590" w:lineRule="exact"/>
        <w:ind w:firstLine="643" w:firstLineChars="200"/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  <w:t>互认项目（共7大类18小类73项）</w:t>
      </w:r>
    </w:p>
    <w:p>
      <w:pPr>
        <w:adjustRightInd w:val="0"/>
        <w:snapToGrid w:val="0"/>
        <w:spacing w:line="590" w:lineRule="exact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1.临床血液学</w:t>
      </w:r>
    </w:p>
    <w:p>
      <w:pPr>
        <w:adjustRightInd w:val="0"/>
        <w:snapToGrid w:val="0"/>
        <w:spacing w:line="590" w:lineRule="exact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    （1）</w:t>
      </w:r>
      <w:r>
        <w:rPr>
          <w:rStyle w:val="8"/>
          <w:rFonts w:hint="eastAsia" w:ascii="仿宋_GB2312" w:hAnsi="仿宋" w:eastAsia="仿宋_GB2312" w:cs="仿宋"/>
          <w:sz w:val="32"/>
          <w:szCs w:val="32"/>
        </w:rPr>
        <w:t>血液一般检验：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红细胞计数(RBC)、白细胞计数(WBC)、血小板计数(PLT)、血红蛋白量(Hgb)、血细胞比积(HCT)、红细胞平均体积(MCV)；</w:t>
      </w:r>
    </w:p>
    <w:p>
      <w:pPr>
        <w:adjustRightInd w:val="0"/>
        <w:snapToGrid w:val="0"/>
        <w:spacing w:line="590" w:lineRule="exact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 xml:space="preserve">    </w:t>
      </w:r>
      <w:r>
        <w:rPr>
          <w:rStyle w:val="8"/>
          <w:rFonts w:hint="eastAsia" w:ascii="仿宋_GB2312" w:hAnsi="仿宋" w:eastAsia="仿宋_GB2312" w:cs="仿宋"/>
          <w:sz w:val="32"/>
          <w:szCs w:val="32"/>
        </w:rPr>
        <w:t>（2）出凝血检验：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活化部分凝血活酶时间(APTT)、凝血酶原时间(PT)、纤维蛋白原(Fg)、凝血酶时间（TT）。</w:t>
      </w:r>
    </w:p>
    <w:p>
      <w:pPr>
        <w:adjustRightInd w:val="0"/>
        <w:snapToGrid w:val="0"/>
        <w:spacing w:line="590" w:lineRule="exact"/>
        <w:ind w:firstLine="642"/>
        <w:rPr>
          <w:rStyle w:val="8"/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2.临床体液学</w:t>
      </w:r>
    </w:p>
    <w:p>
      <w:pPr>
        <w:adjustRightInd w:val="0"/>
        <w:snapToGrid w:val="0"/>
        <w:spacing w:line="590" w:lineRule="exact"/>
        <w:ind w:firstLine="642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尿液检查：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pH、比重( SG )、蛋白质(PRO)、葡萄糖(GLU)、酮体( KET)、胆红素(BIL)、尿胆原(URO)、亚硝酸盐(NIT)、白细胞酯酶(LEU)潜血（或）红细胞(BLD) 。</w:t>
      </w:r>
    </w:p>
    <w:p>
      <w:pPr>
        <w:numPr>
          <w:ilvl w:val="0"/>
          <w:numId w:val="2"/>
        </w:numPr>
        <w:adjustRightInd w:val="0"/>
        <w:snapToGrid w:val="0"/>
        <w:spacing w:line="590" w:lineRule="exact"/>
        <w:ind w:firstLine="642"/>
        <w:rPr>
          <w:rStyle w:val="8"/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临床化学</w:t>
      </w:r>
    </w:p>
    <w:p>
      <w:pPr>
        <w:adjustRightInd w:val="0"/>
        <w:snapToGrid w:val="0"/>
        <w:spacing w:line="590" w:lineRule="exact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 xml:space="preserve">    (1)酶及其相关物质：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天冬氨酸氨基转移酶(AST) 、丙氨酸氨基转移酶( ALT)、乳酸脱氢酶(LDH)、碱性磷酸酶(ALP)、γ-谷氨酰转肽酶(GGT)、肌酸激酶(CK)、α-羟丁酸脱氢酶(α-HBDH)、淀粉酶(AMS)；</w:t>
      </w:r>
    </w:p>
    <w:p>
      <w:pPr>
        <w:adjustRightInd w:val="0"/>
        <w:snapToGrid w:val="0"/>
        <w:spacing w:line="590" w:lineRule="exact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 xml:space="preserve">    </w:t>
      </w:r>
      <w:r>
        <w:rPr>
          <w:rStyle w:val="8"/>
          <w:rFonts w:hint="eastAsia" w:ascii="仿宋_GB2312" w:hAnsi="仿宋" w:eastAsia="仿宋_GB2312" w:cs="仿宋"/>
          <w:sz w:val="32"/>
          <w:szCs w:val="32"/>
        </w:rPr>
        <w:t>（2）蛋白质和低分子含氮化合物：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总蛋白(TP)、白蛋白 (ALB)、尿酸(UA)、尿素(Urea)；</w:t>
      </w:r>
    </w:p>
    <w:p>
      <w:pPr>
        <w:numPr>
          <w:ilvl w:val="0"/>
          <w:numId w:val="3"/>
        </w:numPr>
        <w:adjustRightInd w:val="0"/>
        <w:snapToGrid w:val="0"/>
        <w:spacing w:line="590" w:lineRule="exact"/>
        <w:ind w:firstLine="642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碳水化合物及相关物质：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葡萄糖 (Glu) 、糖化血红蛋白A1c（HbA1c）；</w:t>
      </w:r>
    </w:p>
    <w:p>
      <w:pPr>
        <w:adjustRightInd w:val="0"/>
        <w:snapToGrid w:val="0"/>
        <w:spacing w:line="590" w:lineRule="exact"/>
        <w:ind w:firstLine="642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（4）脂质及其相关物质：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 xml:space="preserve">甘油三酯 (TG) 、总胆固醇 (TC) </w:t>
      </w:r>
    </w:p>
    <w:p>
      <w:pPr>
        <w:adjustRightInd w:val="0"/>
        <w:snapToGrid w:val="0"/>
        <w:spacing w:line="590" w:lineRule="exact"/>
        <w:ind w:firstLine="642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（5）电解质：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钠(Na)、钾(K)、氯(Cl)、钙(Ca)、磷(P)</w:t>
      </w:r>
    </w:p>
    <w:p>
      <w:pPr>
        <w:pStyle w:val="2"/>
        <w:tabs>
          <w:tab w:val="clear" w:pos="0"/>
        </w:tabs>
        <w:spacing w:line="590" w:lineRule="exact"/>
        <w:ind w:firstLine="642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（6）无机离子和微量元素: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铁(Fe);</w:t>
      </w:r>
    </w:p>
    <w:p>
      <w:pPr>
        <w:pStyle w:val="2"/>
        <w:tabs>
          <w:tab w:val="clear" w:pos="0"/>
        </w:tabs>
        <w:spacing w:line="590" w:lineRule="exact"/>
        <w:ind w:firstLine="642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/>
          <w:sz w:val="32"/>
          <w:szCs w:val="32"/>
        </w:rPr>
        <w:t>（7）</w:t>
      </w:r>
      <w:r>
        <w:rPr>
          <w:rStyle w:val="8"/>
          <w:rFonts w:hint="eastAsia" w:ascii="仿宋_GB2312" w:hAnsi="仿宋" w:eastAsia="仿宋_GB2312" w:cs="仿宋"/>
          <w:sz w:val="32"/>
          <w:szCs w:val="32"/>
        </w:rPr>
        <w:t>下丘脑和垂体激素及相关物质: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卵泡刺激素（FSH）、促甲状腺刺激激（TSH）;</w:t>
      </w:r>
    </w:p>
    <w:p>
      <w:pPr>
        <w:pStyle w:val="2"/>
        <w:tabs>
          <w:tab w:val="clear" w:pos="0"/>
        </w:tabs>
        <w:spacing w:line="590" w:lineRule="exact"/>
        <w:ind w:firstLine="642"/>
        <w:rPr>
          <w:rStyle w:val="8"/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/>
          <w:sz w:val="32"/>
          <w:szCs w:val="32"/>
        </w:rPr>
        <w:t>（8）</w:t>
      </w:r>
      <w:r>
        <w:rPr>
          <w:rStyle w:val="8"/>
          <w:rFonts w:hint="eastAsia" w:ascii="仿宋_GB2312" w:hAnsi="仿宋" w:eastAsia="仿宋_GB2312" w:cs="仿宋"/>
          <w:sz w:val="32"/>
          <w:szCs w:val="32"/>
        </w:rPr>
        <w:t>甲状腺激素及其结合蛋白检查: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游离三碘甲状原氨酸（FT3、游离甲状腺素（FT4）、三碘甲状原氨酸（T3）、甲状腺素（T4）;</w:t>
      </w:r>
    </w:p>
    <w:p>
      <w:pPr>
        <w:pStyle w:val="2"/>
        <w:tabs>
          <w:tab w:val="clear" w:pos="0"/>
        </w:tabs>
        <w:spacing w:line="590" w:lineRule="exact"/>
        <w:ind w:firstLine="642"/>
        <w:rPr>
          <w:rStyle w:val="8"/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（9）性腺激素及相关物质: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绒毛膜促性腺激素（HCG）、绒毛膜促性腺激素β（β-HCG）.</w:t>
      </w:r>
    </w:p>
    <w:p>
      <w:pPr>
        <w:pStyle w:val="2"/>
        <w:tabs>
          <w:tab w:val="clear" w:pos="0"/>
        </w:tabs>
        <w:spacing w:line="590" w:lineRule="exact"/>
        <w:rPr>
          <w:rStyle w:val="8"/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 xml:space="preserve">    </w:t>
      </w:r>
      <w:r>
        <w:rPr>
          <w:rStyle w:val="8"/>
          <w:rFonts w:hint="eastAsia" w:ascii="仿宋_GB2312" w:hAnsi="仿宋" w:eastAsia="仿宋_GB2312" w:cs="仿宋"/>
          <w:b/>
          <w:sz w:val="32"/>
          <w:szCs w:val="32"/>
        </w:rPr>
        <w:t>4.</w:t>
      </w:r>
      <w:r>
        <w:rPr>
          <w:rStyle w:val="8"/>
          <w:rFonts w:hint="eastAsia" w:ascii="仿宋_GB2312" w:hAnsi="仿宋" w:eastAsia="仿宋_GB2312" w:cs="仿宋"/>
          <w:sz w:val="32"/>
          <w:szCs w:val="32"/>
        </w:rPr>
        <w:t>临床免疫学</w:t>
      </w:r>
    </w:p>
    <w:p>
      <w:pPr>
        <w:pStyle w:val="2"/>
        <w:tabs>
          <w:tab w:val="clear" w:pos="0"/>
        </w:tabs>
        <w:spacing w:line="590" w:lineRule="exact"/>
        <w:ind w:firstLine="640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(1)补体/免疫球蛋白/相关蛋白: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补体3（C3）、补体4（C4）、免疫球蛋白G （IgG）、免疫球蛋白M （IgM）、免疫球蛋白A （IgA）;</w:t>
      </w:r>
    </w:p>
    <w:p>
      <w:pPr>
        <w:pStyle w:val="2"/>
        <w:tabs>
          <w:tab w:val="clear" w:pos="0"/>
        </w:tabs>
        <w:spacing w:line="590" w:lineRule="exact"/>
        <w:ind w:firstLine="640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(2)肝炎病毒/人类免疫缺陷病毒 /梅毒螺旋体标志物: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抗丙型肝炎病毒抗体（HCV-Ab）、乙型肝炎病毒表面抗原 （HBsAg）、抗乙型肝炎病毒表面抗体（HBsAb）、乙型肝炎病毒e抗原 （HBeAg）、抗乙型肝炎病毒e抗体（HBeAb）、抗乙型肝炎病毒核心抗体（HBcAb）、抗人免疫缺陷病毒抗体（HIV-Ab）、抗梅毒螺旋体抗体;</w:t>
      </w:r>
    </w:p>
    <w:p>
      <w:pPr>
        <w:pStyle w:val="2"/>
        <w:tabs>
          <w:tab w:val="clear" w:pos="0"/>
        </w:tabs>
        <w:spacing w:line="590" w:lineRule="exact"/>
        <w:ind w:firstLine="640"/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(3)肿瘤标志物:</w:t>
      </w: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>癌胚抗原(CEA)、甲胎蛋白(AFP)、总前列腺特异性抗原（tPSA）、游离前列腺特异性抗原（fPSA）。</w:t>
      </w:r>
    </w:p>
    <w:p>
      <w:pPr>
        <w:pStyle w:val="2"/>
        <w:tabs>
          <w:tab w:val="clear" w:pos="0"/>
        </w:tabs>
        <w:spacing w:line="590" w:lineRule="exact"/>
        <w:ind w:firstLine="640"/>
        <w:rPr>
          <w:rStyle w:val="8"/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5.临床微生物学</w:t>
      </w:r>
    </w:p>
    <w:p>
      <w:pPr>
        <w:pStyle w:val="2"/>
        <w:tabs>
          <w:tab w:val="clear" w:pos="0"/>
        </w:tabs>
        <w:spacing w:line="590" w:lineRule="exact"/>
        <w:ind w:firstLine="640"/>
        <w:rPr>
          <w:rStyle w:val="8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 w:val="0"/>
          <w:bCs/>
          <w:sz w:val="32"/>
          <w:szCs w:val="32"/>
        </w:rPr>
        <w:t>细菌培养+鉴定、药敏试验。</w:t>
      </w:r>
    </w:p>
    <w:p>
      <w:pPr>
        <w:pStyle w:val="2"/>
        <w:numPr>
          <w:ilvl w:val="0"/>
          <w:numId w:val="4"/>
        </w:numPr>
        <w:tabs>
          <w:tab w:val="clear" w:pos="0"/>
        </w:tabs>
        <w:spacing w:line="590" w:lineRule="exact"/>
        <w:ind w:firstLine="640"/>
        <w:rPr>
          <w:rStyle w:val="8"/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>红细胞血型</w:t>
      </w:r>
    </w:p>
    <w:p>
      <w:pPr>
        <w:pStyle w:val="2"/>
        <w:tabs>
          <w:tab w:val="clear" w:pos="0"/>
        </w:tabs>
        <w:spacing w:line="59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 xml:space="preserve">    ABO血型正定型、RhD血型（RhD抗原）、ABO血型反定型。</w:t>
      </w:r>
    </w:p>
    <w:p>
      <w:pPr>
        <w:pStyle w:val="2"/>
        <w:tabs>
          <w:tab w:val="clear" w:pos="0"/>
        </w:tabs>
        <w:spacing w:line="590" w:lineRule="exact"/>
        <w:rPr>
          <w:rStyle w:val="8"/>
          <w:rFonts w:hint="eastAsia" w:ascii="仿宋_GB2312" w:hAnsi="仿宋" w:eastAsia="仿宋_GB2312" w:cs="仿宋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sz w:val="32"/>
          <w:szCs w:val="32"/>
        </w:rPr>
        <w:t xml:space="preserve">    7.分子诊断</w:t>
      </w:r>
    </w:p>
    <w:p>
      <w:pPr>
        <w:pStyle w:val="2"/>
        <w:tabs>
          <w:tab w:val="clear" w:pos="0"/>
        </w:tabs>
        <w:spacing w:line="59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 w:val="0"/>
          <w:sz w:val="32"/>
          <w:szCs w:val="32"/>
        </w:rPr>
        <w:t xml:space="preserve">    乙型肝炎病毒脱氧核糖核酸（HBV DNA）。</w:t>
      </w:r>
      <w:bookmarkEnd w:id="0"/>
      <w:bookmarkEnd w:id="1"/>
    </w:p>
    <w:p>
      <w:bookmarkStart w:id="2" w:name="_GoBack"/>
      <w:bookmarkEnd w:id="2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701" w:left="1588" w:header="851" w:footer="1588" w:gutter="0"/>
      <w:pgNumType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80B3"/>
    <w:multiLevelType w:val="singleLevel"/>
    <w:tmpl w:val="60B580B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0B58584"/>
    <w:multiLevelType w:val="singleLevel"/>
    <w:tmpl w:val="60B58584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610755FA"/>
    <w:multiLevelType w:val="singleLevel"/>
    <w:tmpl w:val="610755FA"/>
    <w:lvl w:ilvl="0" w:tentative="0">
      <w:start w:val="3"/>
      <w:numFmt w:val="decimal"/>
      <w:suff w:val="nothing"/>
      <w:lvlText w:val="%1."/>
      <w:lvlJc w:val="left"/>
    </w:lvl>
  </w:abstractNum>
  <w:abstractNum w:abstractNumId="3">
    <w:nsid w:val="61075624"/>
    <w:multiLevelType w:val="singleLevel"/>
    <w:tmpl w:val="61075624"/>
    <w:lvl w:ilvl="0" w:tentative="0">
      <w:start w:val="3"/>
      <w:numFmt w:val="decimal"/>
      <w:suff w:val="nothing"/>
      <w:lvlText w:val="（%1）"/>
      <w:lvlJc w:val="left"/>
      <w:rPr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D7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0"/>
      </w:tabs>
      <w:spacing w:line="360" w:lineRule="exact"/>
      <w:outlineLvl w:val="0"/>
    </w:pPr>
    <w:rPr>
      <w:rFonts w:ascii="宋体" w:hAnsi="宋体" w:cs="宋体"/>
      <w:kern w:val="44"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16"/>
    <w:qFormat/>
    <w:uiPriority w:val="99"/>
    <w:rPr>
      <w:rFonts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2021-08-12T00:52:05Z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361B582F4CB94C7897DE1D9EA57C601A</vt:lpwstr>
  </property>
</Properties>
</file>