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adjustRightInd w:val="0"/>
        <w:snapToGrid w:val="0"/>
        <w:spacing w:before="0" w:beforeAutospacing="0" w:after="0" w:afterAutospacing="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关于印发2021年纠正医药购销领域和</w:t>
      </w:r>
    </w:p>
    <w:p>
      <w:pPr>
        <w:pStyle w:val="4"/>
        <w:widowControl/>
        <w:shd w:val="clear" w:color="auto" w:fill="FFFFFF"/>
        <w:adjustRightInd w:val="0"/>
        <w:snapToGrid w:val="0"/>
        <w:spacing w:before="0" w:beforeAutospacing="0" w:after="0" w:afterAutospacing="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医疗服务中不正之风工作要点的通知</w:t>
      </w:r>
    </w:p>
    <w:p>
      <w:pPr>
        <w:pStyle w:val="4"/>
        <w:widowControl/>
        <w:shd w:val="clear" w:color="auto" w:fill="FFFFFF"/>
        <w:adjustRightInd w:val="0"/>
        <w:snapToGrid w:val="0"/>
        <w:spacing w:before="0" w:beforeAutospacing="0" w:after="0" w:afterAutospacing="0" w:line="700" w:lineRule="exact"/>
        <w:jc w:val="center"/>
        <w:rPr>
          <w:rFonts w:hint="eastAsia" w:ascii="仿宋" w:hAnsi="仿宋" w:eastAsia="仿宋" w:cs="仿宋"/>
          <w:sz w:val="32"/>
          <w:szCs w:val="32"/>
        </w:rPr>
      </w:pPr>
      <w:r>
        <w:rPr>
          <w:rStyle w:val="7"/>
          <w:rFonts w:hint="eastAsia" w:ascii="仿宋_GB2312" w:hAnsi="仿宋" w:eastAsia="仿宋_GB2312" w:cs="仿宋"/>
          <w:b w:val="0"/>
          <w:sz w:val="32"/>
          <w:szCs w:val="32"/>
          <w:shd w:val="clear" w:color="auto" w:fill="FFFFFF"/>
        </w:rPr>
        <w:t>国卫医函〔2021〕85号</w:t>
      </w:r>
    </w:p>
    <w:p>
      <w:pPr>
        <w:pStyle w:val="4"/>
        <w:widowControl/>
        <w:shd w:val="clear" w:color="auto" w:fill="FFFFFF"/>
        <w:adjustRightInd w:val="0"/>
        <w:snapToGrid w:val="0"/>
        <w:spacing w:before="0" w:beforeAutospacing="0" w:after="0" w:afterAutospacing="0"/>
        <w:ind w:firstLine="640" w:firstLineChars="200"/>
        <w:rPr>
          <w:rFonts w:hint="eastAsia" w:ascii="仿宋" w:hAnsi="仿宋" w:eastAsia="仿宋" w:cs="仿宋"/>
          <w:color w:val="000000"/>
          <w:sz w:val="32"/>
          <w:szCs w:val="32"/>
          <w:shd w:val="clear" w:color="auto" w:fill="FFFFFF"/>
        </w:rPr>
      </w:pPr>
    </w:p>
    <w:p>
      <w:pPr>
        <w:pStyle w:val="4"/>
        <w:widowControl/>
        <w:shd w:val="clear" w:color="auto" w:fill="FFFFFF"/>
        <w:spacing w:before="0" w:beforeAutospacing="0" w:after="0" w:afterAutospacing="0" w:line="600" w:lineRule="exact"/>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各省、自治区、直辖市卫生健康委、工业和信息化主管部门、公安厅（局）、财政厅（局）、商务厅（局）、市场监管局、医疗保障局、中医药管理局，国家税务总局各省、自治区、直辖市和计划单列市税务局，新疆生产建设兵团卫生健康委、工业和信息化委员会、公安局、财务局、商务局、市场监督局、医疗保障局：</w:t>
      </w:r>
      <w:r>
        <w:rPr>
          <w:rFonts w:hint="eastAsia" w:ascii="仿宋_GB2312" w:hAnsi="仿宋" w:eastAsia="仿宋_GB2312" w:cs="仿宋"/>
          <w:color w:val="000000"/>
          <w:sz w:val="32"/>
          <w:szCs w:val="32"/>
          <w:shd w:val="clear" w:color="auto" w:fill="FFFFFF"/>
        </w:rPr>
        <w:br w:type="textWrapping"/>
      </w:r>
      <w:r>
        <w:rPr>
          <w:rFonts w:hint="eastAsia" w:ascii="仿宋_GB2312" w:hAnsi="仿宋" w:eastAsia="仿宋_GB2312" w:cs="仿宋"/>
          <w:color w:val="000000"/>
          <w:sz w:val="32"/>
          <w:szCs w:val="32"/>
          <w:shd w:val="clear" w:color="auto" w:fill="FFFFFF"/>
        </w:rPr>
        <w:t xml:space="preserve">    现将《2021年纠正医药购销领域和医疗服务中不正之风工作要点》印发给你们，请结合实际，认真贯彻执行。</w:t>
      </w:r>
      <w:r>
        <w:rPr>
          <w:rFonts w:hint="eastAsia" w:ascii="仿宋_GB2312" w:hAnsi="仿宋" w:eastAsia="仿宋_GB2312" w:cs="仿宋"/>
          <w:color w:val="000000"/>
          <w:sz w:val="32"/>
          <w:szCs w:val="32"/>
          <w:shd w:val="clear" w:color="auto" w:fill="FFFFFF"/>
        </w:rPr>
        <w:br w:type="textWrapping"/>
      </w:r>
    </w:p>
    <w:p>
      <w:pPr>
        <w:pStyle w:val="4"/>
        <w:widowControl/>
        <w:shd w:val="clear" w:color="auto" w:fill="FFFFFF"/>
        <w:tabs>
          <w:tab w:val="left" w:pos="1264"/>
          <w:tab w:val="left" w:pos="1422"/>
          <w:tab w:val="left" w:pos="1580"/>
          <w:tab w:val="left" w:pos="5688"/>
        </w:tabs>
        <w:spacing w:before="0" w:beforeAutospacing="0" w:after="0" w:afterAutospacing="0" w:line="600" w:lineRule="exact"/>
        <w:ind w:firstLine="787" w:firstLineChars="246"/>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国家卫生健康委             工业和信息化部</w:t>
      </w:r>
      <w:r>
        <w:rPr>
          <w:rFonts w:hint="eastAsia" w:ascii="仿宋" w:hAnsi="仿宋" w:eastAsia="仿宋" w:cs="仿宋"/>
          <w:color w:val="000000"/>
          <w:sz w:val="32"/>
          <w:szCs w:val="32"/>
          <w:shd w:val="clear" w:color="auto" w:fill="FFFFFF"/>
        </w:rPr>
        <w:br w:type="textWrapping"/>
      </w:r>
    </w:p>
    <w:p>
      <w:pPr>
        <w:pStyle w:val="4"/>
        <w:widowControl/>
        <w:shd w:val="clear" w:color="auto" w:fill="FFFFFF"/>
        <w:tabs>
          <w:tab w:val="left" w:pos="1264"/>
          <w:tab w:val="left" w:pos="1422"/>
          <w:tab w:val="left" w:pos="1580"/>
          <w:tab w:val="left" w:pos="5688"/>
        </w:tabs>
        <w:spacing w:before="0" w:beforeAutospacing="0" w:after="0" w:afterAutospacing="0" w:line="600" w:lineRule="exact"/>
        <w:ind w:firstLine="787" w:firstLineChars="246"/>
        <w:rPr>
          <w:rFonts w:hint="eastAsia" w:ascii="仿宋" w:hAnsi="仿宋" w:eastAsia="仿宋" w:cs="仿宋"/>
          <w:color w:val="000000"/>
          <w:sz w:val="32"/>
          <w:szCs w:val="32"/>
          <w:shd w:val="clear" w:color="auto" w:fill="FFFFFF"/>
        </w:rPr>
      </w:pPr>
    </w:p>
    <w:p>
      <w:pPr>
        <w:pStyle w:val="4"/>
        <w:widowControl/>
        <w:shd w:val="clear" w:color="auto" w:fill="FFFFFF"/>
        <w:spacing w:before="0" w:beforeAutospacing="0" w:after="0" w:afterAutospacing="0" w:line="600" w:lineRule="exact"/>
        <w:ind w:firstLine="1440" w:firstLineChars="45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公安部                    财政部</w:t>
      </w:r>
    </w:p>
    <w:p>
      <w:pPr>
        <w:pStyle w:val="4"/>
        <w:widowControl/>
        <w:shd w:val="clear" w:color="auto" w:fill="FFFFFF"/>
        <w:tabs>
          <w:tab w:val="left" w:pos="1106"/>
          <w:tab w:val="left" w:pos="2054"/>
        </w:tabs>
        <w:spacing w:before="0" w:beforeAutospacing="0" w:after="0" w:afterAutospacing="0" w:line="600" w:lineRule="exact"/>
        <w:ind w:firstLine="1440" w:firstLineChars="450"/>
        <w:rPr>
          <w:rFonts w:hint="eastAsia" w:ascii="仿宋" w:hAnsi="仿宋" w:eastAsia="仿宋" w:cs="仿宋"/>
          <w:color w:val="000000"/>
          <w:sz w:val="32"/>
          <w:szCs w:val="32"/>
          <w:shd w:val="clear" w:color="auto" w:fill="FFFFFF"/>
        </w:rPr>
      </w:pPr>
    </w:p>
    <w:p>
      <w:pPr>
        <w:pStyle w:val="4"/>
        <w:widowControl/>
        <w:shd w:val="clear" w:color="auto" w:fill="FFFFFF"/>
        <w:tabs>
          <w:tab w:val="left" w:pos="1106"/>
          <w:tab w:val="left" w:pos="2054"/>
        </w:tabs>
        <w:spacing w:before="0" w:beforeAutospacing="0" w:after="0" w:afterAutospacing="0" w:line="600" w:lineRule="exact"/>
        <w:ind w:firstLine="1440" w:firstLineChars="450"/>
        <w:rPr>
          <w:rFonts w:hint="eastAsia" w:ascii="仿宋" w:hAnsi="仿宋" w:eastAsia="仿宋" w:cs="仿宋"/>
          <w:color w:val="000000"/>
          <w:sz w:val="32"/>
          <w:szCs w:val="32"/>
          <w:shd w:val="clear" w:color="auto" w:fill="FFFFFF"/>
        </w:rPr>
      </w:pPr>
    </w:p>
    <w:p>
      <w:pPr>
        <w:pStyle w:val="4"/>
        <w:widowControl/>
        <w:shd w:val="clear" w:color="auto" w:fill="FFFFFF"/>
        <w:tabs>
          <w:tab w:val="left" w:pos="1106"/>
          <w:tab w:val="left" w:pos="1422"/>
          <w:tab w:val="left" w:pos="2054"/>
        </w:tabs>
        <w:spacing w:before="0" w:beforeAutospacing="0" w:after="0" w:afterAutospacing="0" w:line="600" w:lineRule="exact"/>
        <w:ind w:firstLine="1264" w:firstLineChars="395"/>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商务部                  国家税务总局</w:t>
      </w:r>
      <w:r>
        <w:rPr>
          <w:rFonts w:hint="eastAsia" w:ascii="仿宋" w:hAnsi="仿宋" w:eastAsia="仿宋" w:cs="仿宋"/>
          <w:color w:val="000000"/>
          <w:sz w:val="32"/>
          <w:szCs w:val="32"/>
          <w:shd w:val="clear" w:color="auto" w:fill="FFFFFF"/>
        </w:rPr>
        <w:br w:type="textWrapping"/>
      </w:r>
    </w:p>
    <w:p>
      <w:pPr>
        <w:pStyle w:val="4"/>
        <w:widowControl/>
        <w:shd w:val="clear" w:color="auto" w:fill="FFFFFF"/>
        <w:tabs>
          <w:tab w:val="left" w:pos="1106"/>
          <w:tab w:val="left" w:pos="1422"/>
          <w:tab w:val="left" w:pos="5214"/>
          <w:tab w:val="left" w:pos="7110"/>
        </w:tabs>
        <w:spacing w:before="0" w:beforeAutospacing="0" w:after="0" w:afterAutospacing="0" w:line="600" w:lineRule="exact"/>
        <w:ind w:firstLine="640" w:firstLineChars="200"/>
        <w:rPr>
          <w:rFonts w:hint="eastAsia" w:ascii="仿宋" w:hAnsi="仿宋" w:eastAsia="仿宋" w:cs="仿宋"/>
          <w:color w:val="000000"/>
          <w:sz w:val="32"/>
          <w:szCs w:val="32"/>
          <w:shd w:val="clear" w:color="auto" w:fill="FFFFFF"/>
        </w:rPr>
      </w:pPr>
    </w:p>
    <w:p>
      <w:pPr>
        <w:pStyle w:val="4"/>
        <w:widowControl/>
        <w:shd w:val="clear" w:color="auto" w:fill="FFFFFF"/>
        <w:tabs>
          <w:tab w:val="left" w:pos="1106"/>
          <w:tab w:val="left" w:pos="1422"/>
          <w:tab w:val="left" w:pos="5214"/>
          <w:tab w:val="left" w:pos="5372"/>
          <w:tab w:val="left" w:pos="6794"/>
          <w:tab w:val="left" w:pos="7110"/>
        </w:tabs>
        <w:spacing w:before="0" w:beforeAutospacing="0" w:after="0" w:afterAutospacing="0" w:line="60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国家市场监管总局             国家医保局</w:t>
      </w:r>
      <w:r>
        <w:rPr>
          <w:rFonts w:hint="eastAsia" w:ascii="仿宋" w:hAnsi="仿宋" w:eastAsia="仿宋" w:cs="仿宋"/>
          <w:color w:val="000000"/>
          <w:sz w:val="32"/>
          <w:szCs w:val="32"/>
          <w:shd w:val="clear" w:color="auto" w:fill="FFFFFF"/>
        </w:rPr>
        <w:br w:type="textWrapping"/>
      </w:r>
    </w:p>
    <w:p>
      <w:pPr>
        <w:pStyle w:val="4"/>
        <w:widowControl/>
        <w:shd w:val="clear" w:color="auto" w:fill="FFFFFF"/>
        <w:tabs>
          <w:tab w:val="left" w:pos="7584"/>
        </w:tabs>
        <w:spacing w:before="0" w:beforeAutospacing="0" w:after="0" w:afterAutospacing="0" w:line="600" w:lineRule="exact"/>
        <w:ind w:left="4960" w:leftChars="1550" w:firstLine="233" w:firstLineChars="73"/>
        <w:rPr>
          <w:rFonts w:hint="eastAsia" w:ascii="仿宋_GB2312" w:hAnsi="仿宋" w:eastAsia="仿宋_GB2312" w:cs="仿宋"/>
          <w:color w:val="000000"/>
          <w:sz w:val="32"/>
          <w:szCs w:val="32"/>
        </w:rPr>
      </w:pPr>
      <w:r>
        <w:rPr>
          <w:rFonts w:hint="eastAsia" w:ascii="仿宋" w:hAnsi="仿宋" w:eastAsia="仿宋" w:cs="仿宋"/>
          <w:color w:val="000000"/>
          <w:sz w:val="32"/>
          <w:szCs w:val="32"/>
          <w:shd w:val="clear" w:color="auto" w:fill="FFFFFF"/>
        </w:rPr>
        <w:t>国家中医药局</w:t>
      </w:r>
      <w:r>
        <w:rPr>
          <w:rFonts w:hint="eastAsia" w:ascii="仿宋" w:hAnsi="仿宋" w:eastAsia="仿宋" w:cs="仿宋"/>
          <w:color w:val="000000"/>
          <w:sz w:val="32"/>
          <w:szCs w:val="32"/>
          <w:shd w:val="clear" w:color="auto" w:fill="FFFFFF"/>
        </w:rPr>
        <w:br w:type="textWrapping"/>
      </w:r>
      <w:r>
        <w:rPr>
          <w:rFonts w:hint="eastAsia" w:ascii="仿宋_GB2312" w:hAnsi="仿宋" w:eastAsia="仿宋_GB2312" w:cs="仿宋"/>
          <w:color w:val="000000"/>
          <w:sz w:val="32"/>
          <w:szCs w:val="32"/>
          <w:shd w:val="clear" w:color="auto" w:fill="FFFFFF"/>
        </w:rPr>
        <w:t>2021年4月25日</w:t>
      </w:r>
    </w:p>
    <w:p>
      <w:pPr>
        <w:pStyle w:val="4"/>
        <w:widowControl/>
        <w:shd w:val="clear" w:color="auto" w:fill="FFFFFF"/>
        <w:snapToGrid w:val="0"/>
        <w:spacing w:before="0" w:beforeAutospacing="0" w:after="0" w:afterAutospacing="0" w:line="600" w:lineRule="exact"/>
        <w:ind w:firstLine="883" w:firstLineChars="200"/>
        <w:jc w:val="center"/>
        <w:rPr>
          <w:rStyle w:val="7"/>
          <w:rFonts w:hint="eastAsia" w:ascii="黑体" w:hAnsi="黑体" w:eastAsia="黑体" w:cs="黑体"/>
          <w:color w:val="FF0066"/>
          <w:sz w:val="44"/>
          <w:szCs w:val="44"/>
          <w:shd w:val="clear" w:color="auto" w:fill="FFFFFF"/>
        </w:rPr>
      </w:pPr>
    </w:p>
    <w:p>
      <w:pPr>
        <w:pStyle w:val="4"/>
        <w:widowControl/>
        <w:shd w:val="clear" w:color="auto" w:fill="FFFFFF"/>
        <w:snapToGrid w:val="0"/>
        <w:spacing w:before="0" w:beforeAutospacing="0" w:after="0" w:afterAutospacing="0" w:line="600" w:lineRule="exact"/>
        <w:ind w:firstLine="457" w:firstLineChars="143"/>
        <w:jc w:val="both"/>
        <w:rPr>
          <w:rStyle w:val="7"/>
          <w:rFonts w:hint="eastAsia" w:ascii="仿宋_GB2312" w:hAnsi="黑体" w:eastAsia="仿宋_GB2312" w:cs="黑体"/>
          <w:b w:val="0"/>
          <w:sz w:val="32"/>
          <w:szCs w:val="32"/>
          <w:shd w:val="clear" w:color="auto" w:fill="FFFFFF"/>
        </w:rPr>
      </w:pPr>
      <w:r>
        <w:rPr>
          <w:rStyle w:val="7"/>
          <w:rFonts w:hint="eastAsia" w:ascii="仿宋_GB2312" w:hAnsi="黑体" w:eastAsia="仿宋_GB2312" w:cs="黑体"/>
          <w:b w:val="0"/>
          <w:sz w:val="32"/>
          <w:szCs w:val="32"/>
          <w:shd w:val="clear" w:color="auto" w:fill="FFFFFF"/>
        </w:rPr>
        <w:t>（信息公开形式：主动公开）</w:t>
      </w:r>
    </w:p>
    <w:p>
      <w:r>
        <w:br w:type="page"/>
      </w:r>
    </w:p>
    <w:p>
      <w:pPr>
        <w:pStyle w:val="4"/>
        <w:widowControl/>
        <w:shd w:val="clear" w:color="auto" w:fill="FFFFFF"/>
        <w:adjustRightInd w:val="0"/>
        <w:snapToGrid w:val="0"/>
        <w:spacing w:before="0" w:beforeAutospacing="0" w:after="0" w:afterAutospacing="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2021年纠正医药购销领域和医疗服务中</w:t>
      </w:r>
    </w:p>
    <w:p>
      <w:pPr>
        <w:pStyle w:val="4"/>
        <w:widowControl/>
        <w:shd w:val="clear" w:color="auto" w:fill="FFFFFF"/>
        <w:adjustRightInd w:val="0"/>
        <w:snapToGrid w:val="0"/>
        <w:spacing w:before="0" w:beforeAutospacing="0" w:after="0" w:afterAutospacing="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不正之风工作要点</w:t>
      </w:r>
    </w:p>
    <w:p>
      <w:pPr>
        <w:pStyle w:val="4"/>
        <w:widowControl/>
        <w:shd w:val="clear" w:color="auto" w:fill="FFFFFF"/>
        <w:adjustRightInd w:val="0"/>
        <w:snapToGrid w:val="0"/>
        <w:spacing w:before="0" w:beforeAutospacing="0" w:after="0" w:afterAutospacing="0" w:line="590" w:lineRule="exact"/>
        <w:ind w:firstLine="640" w:firstLineChars="200"/>
        <w:rPr>
          <w:rFonts w:hint="eastAsia" w:ascii="仿宋" w:hAnsi="仿宋" w:eastAsia="仿宋" w:cs="仿宋"/>
          <w:color w:val="000000"/>
          <w:sz w:val="32"/>
          <w:szCs w:val="32"/>
          <w:shd w:val="clear" w:color="auto" w:fill="FFFFFF"/>
        </w:rPr>
      </w:pPr>
    </w:p>
    <w:p>
      <w:pPr>
        <w:pStyle w:val="4"/>
        <w:widowControl/>
        <w:shd w:val="clear" w:color="auto" w:fill="FFFFFF"/>
        <w:adjustRightInd w:val="0"/>
        <w:snapToGrid w:val="0"/>
        <w:spacing w:before="0" w:beforeAutospacing="0" w:after="0" w:afterAutospacing="0" w:line="59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2021年纠正医药购销领域和医疗服务中不正之风专项治理工作的总体要求是：以习近平新时代中国特色社会主义思想为指导，深入贯彻十九届中央纪委五次全会精神，坚决落实党中央关于党风廉政建设的决策部署，切实履行“管行业必须管行风”“谁主管谁负责”的行业治理主体责任，持续纠治医药购销领域和医疗服务中的不正之风，全面弘扬伟大抗疫精神，推动卫生健康行业作风建设再上新台阶。</w:t>
      </w:r>
      <w:r>
        <w:rPr>
          <w:rFonts w:hint="eastAsia" w:ascii="仿宋_GB2312" w:hAnsi="仿宋" w:eastAsia="仿宋_GB2312" w:cs="仿宋"/>
          <w:sz w:val="32"/>
          <w:szCs w:val="32"/>
          <w:shd w:val="clear" w:color="auto" w:fill="FFFFFF"/>
        </w:rPr>
        <w:br w:type="textWrapping"/>
      </w:r>
      <w:r>
        <w:rPr>
          <w:rFonts w:hint="eastAsia" w:ascii="仿宋_GB2312" w:hAnsi="仿宋" w:eastAsia="仿宋_GB2312" w:cs="仿宋"/>
          <w:sz w:val="32"/>
          <w:szCs w:val="32"/>
          <w:shd w:val="clear" w:color="auto" w:fill="FFFFFF"/>
        </w:rPr>
        <w:t xml:space="preserve">    </w:t>
      </w:r>
      <w:r>
        <w:rPr>
          <w:rStyle w:val="7"/>
          <w:rFonts w:hint="eastAsia" w:ascii="黑体" w:hAnsi="黑体" w:eastAsia="黑体" w:cs="黑体"/>
          <w:b w:val="0"/>
          <w:sz w:val="32"/>
          <w:szCs w:val="32"/>
          <w:shd w:val="clear" w:color="auto" w:fill="FFFFFF"/>
        </w:rPr>
        <w:t>一、坚决维护疫苗接种工作顺利实施</w:t>
      </w:r>
      <w:r>
        <w:rPr>
          <w:rFonts w:hint="eastAsia" w:ascii="仿宋_GB2312" w:hAnsi="仿宋" w:eastAsia="仿宋_GB2312" w:cs="仿宋"/>
          <w:sz w:val="32"/>
          <w:szCs w:val="32"/>
          <w:shd w:val="clear" w:color="auto" w:fill="FFFFFF"/>
        </w:rPr>
        <w:br w:type="textWrapping"/>
      </w:r>
      <w:r>
        <w:rPr>
          <w:rFonts w:hint="eastAsia" w:ascii="仿宋_GB2312" w:hAnsi="仿宋" w:eastAsia="仿宋_GB2312" w:cs="仿宋"/>
          <w:sz w:val="32"/>
          <w:szCs w:val="32"/>
          <w:shd w:val="clear" w:color="auto" w:fill="FFFFFF"/>
        </w:rPr>
        <w:t xml:space="preserve">    加强重点省份的医疗物资质量专项督导。深入开展打击涉疫苗犯罪专项行动，依法严厉打击疫苗领域制假售假、非法经营、走私，以及疫苗接种过程中发生的非法行医和以疫苗为幌子进行诈骗等犯罪行为。</w:t>
      </w:r>
      <w:r>
        <w:rPr>
          <w:rFonts w:hint="eastAsia" w:ascii="仿宋_GB2312" w:hAnsi="仿宋" w:eastAsia="仿宋_GB2312" w:cs="仿宋"/>
          <w:sz w:val="32"/>
          <w:szCs w:val="32"/>
          <w:shd w:val="clear" w:color="auto" w:fill="FFFFFF"/>
        </w:rPr>
        <w:br w:type="textWrapping"/>
      </w:r>
      <w:r>
        <w:rPr>
          <w:rFonts w:hint="eastAsia" w:ascii="仿宋_GB2312" w:hAnsi="仿宋" w:eastAsia="仿宋_GB2312" w:cs="仿宋"/>
          <w:sz w:val="32"/>
          <w:szCs w:val="32"/>
          <w:shd w:val="clear" w:color="auto" w:fill="FFFFFF"/>
        </w:rPr>
        <w:t xml:space="preserve">    </w:t>
      </w:r>
      <w:r>
        <w:rPr>
          <w:rStyle w:val="7"/>
          <w:rFonts w:hint="eastAsia" w:ascii="黑体" w:hAnsi="黑体" w:eastAsia="黑体" w:cs="黑体"/>
          <w:b w:val="0"/>
          <w:sz w:val="32"/>
          <w:szCs w:val="32"/>
          <w:shd w:val="clear" w:color="auto" w:fill="FFFFFF"/>
        </w:rPr>
        <w:t>二、打击核酸检测领域违法违规行为</w:t>
      </w:r>
      <w:r>
        <w:rPr>
          <w:rStyle w:val="7"/>
          <w:rFonts w:hint="eastAsia" w:ascii="仿宋_GB2312" w:hAnsi="黑体" w:eastAsia="仿宋_GB2312" w:cs="黑体"/>
          <w:sz w:val="32"/>
          <w:szCs w:val="32"/>
          <w:shd w:val="clear" w:color="auto" w:fill="FFFFFF"/>
        </w:rPr>
        <w:br w:type="textWrapping"/>
      </w:r>
      <w:r>
        <w:rPr>
          <w:rFonts w:hint="eastAsia" w:ascii="仿宋_GB2312" w:hAnsi="仿宋" w:eastAsia="仿宋_GB2312" w:cs="仿宋"/>
          <w:sz w:val="32"/>
          <w:szCs w:val="32"/>
          <w:shd w:val="clear" w:color="auto" w:fill="FFFFFF"/>
        </w:rPr>
        <w:t xml:space="preserve">    加强核酸检测管理，鼓励同时提供单样检测和混样检测服务，并在醒目位置公示核酸检测价格，严禁虚标价格或超标准收费，严厉打击以快速核酸检测为名实施的诈骗或故意篡改核酸检测证明等违法违规行为。</w:t>
      </w:r>
      <w:r>
        <w:rPr>
          <w:rFonts w:hint="eastAsia" w:ascii="仿宋_GB2312" w:hAnsi="仿宋" w:eastAsia="仿宋_GB2312" w:cs="仿宋"/>
          <w:sz w:val="32"/>
          <w:szCs w:val="32"/>
          <w:shd w:val="clear" w:color="auto" w:fill="FFFFFF"/>
        </w:rPr>
        <w:br w:type="textWrapping"/>
      </w:r>
      <w:r>
        <w:rPr>
          <w:rFonts w:hint="eastAsia" w:ascii="仿宋_GB2312" w:hAnsi="仿宋" w:eastAsia="仿宋_GB2312" w:cs="仿宋"/>
          <w:sz w:val="32"/>
          <w:szCs w:val="32"/>
          <w:shd w:val="clear" w:color="auto" w:fill="FFFFFF"/>
        </w:rPr>
        <w:t xml:space="preserve">    </w:t>
      </w:r>
      <w:r>
        <w:rPr>
          <w:rStyle w:val="7"/>
          <w:rFonts w:hint="eastAsia" w:ascii="黑体" w:hAnsi="黑体" w:eastAsia="黑体" w:cs="黑体"/>
          <w:b w:val="0"/>
          <w:sz w:val="32"/>
          <w:szCs w:val="32"/>
          <w:shd w:val="clear" w:color="auto" w:fill="FFFFFF"/>
        </w:rPr>
        <w:t>三、深入开展定点医疗机构规范使用医保基金专项治理</w:t>
      </w:r>
      <w:r>
        <w:rPr>
          <w:rFonts w:hint="eastAsia" w:ascii="黑体" w:hAnsi="黑体" w:eastAsia="黑体" w:cs="仿宋"/>
          <w:b/>
          <w:sz w:val="32"/>
          <w:szCs w:val="32"/>
          <w:shd w:val="clear" w:color="auto" w:fill="FFFFFF"/>
        </w:rPr>
        <w:br w:type="textWrapping"/>
      </w:r>
      <w:r>
        <w:rPr>
          <w:rFonts w:hint="eastAsia" w:ascii="仿宋_GB2312" w:hAnsi="仿宋" w:eastAsia="仿宋_GB2312" w:cs="仿宋"/>
          <w:sz w:val="32"/>
          <w:szCs w:val="32"/>
          <w:shd w:val="clear" w:color="auto" w:fill="FFFFFF"/>
        </w:rPr>
        <w:t xml:space="preserve">    坚决贯彻落实《</w:t>
      </w:r>
      <w:r>
        <w:rPr>
          <w:rFonts w:hint="eastAsia" w:ascii="仿宋_GB2312" w:hAnsi="仿宋" w:eastAsia="仿宋_GB2312" w:cs="仿宋"/>
          <w:sz w:val="32"/>
          <w:szCs w:val="32"/>
          <w:shd w:val="clear" w:color="auto" w:fill="FFFFFF"/>
        </w:rPr>
        <w:fldChar w:fldCharType="begin"/>
      </w:r>
      <w:r>
        <w:rPr>
          <w:rFonts w:hint="eastAsia" w:ascii="仿宋_GB2312" w:hAnsi="仿宋" w:eastAsia="仿宋_GB2312" w:cs="仿宋"/>
          <w:sz w:val="32"/>
          <w:szCs w:val="32"/>
          <w:shd w:val="clear" w:color="auto" w:fill="FFFFFF"/>
        </w:rPr>
        <w:instrText xml:space="preserve"> HYPERLINK "https://www.waizi.org.cn/doc/104145.html" \o "《医疗保障基金使用监督管理条例》国务院令第735号（全文）" \t "https://www.waizi.org.cn/law/_blank" </w:instrText>
      </w:r>
      <w:r>
        <w:rPr>
          <w:rFonts w:hint="eastAsia" w:ascii="仿宋_GB2312" w:hAnsi="仿宋" w:eastAsia="仿宋_GB2312" w:cs="仿宋"/>
          <w:sz w:val="32"/>
          <w:szCs w:val="32"/>
          <w:shd w:val="clear" w:color="auto" w:fill="FFFFFF"/>
        </w:rPr>
        <w:fldChar w:fldCharType="separate"/>
      </w:r>
      <w:r>
        <w:rPr>
          <w:rStyle w:val="9"/>
          <w:rFonts w:hint="eastAsia" w:ascii="仿宋_GB2312" w:hAnsi="仿宋" w:eastAsia="仿宋_GB2312" w:cs="仿宋"/>
          <w:color w:val="auto"/>
          <w:sz w:val="32"/>
          <w:szCs w:val="32"/>
          <w:u w:val="none"/>
          <w:shd w:val="clear" w:color="auto" w:fill="FFFFFF"/>
        </w:rPr>
        <w:t>医疗保障基金使用监督管理条例</w:t>
      </w:r>
      <w:r>
        <w:rPr>
          <w:rFonts w:hint="eastAsia" w:ascii="仿宋_GB2312" w:hAnsi="仿宋" w:eastAsia="仿宋_GB2312" w:cs="仿宋"/>
          <w:sz w:val="32"/>
          <w:szCs w:val="32"/>
          <w:shd w:val="clear" w:color="auto" w:fill="FFFFFF"/>
        </w:rPr>
        <w:fldChar w:fldCharType="end"/>
      </w:r>
      <w:r>
        <w:rPr>
          <w:rFonts w:hint="eastAsia" w:ascii="仿宋_GB2312" w:hAnsi="仿宋" w:eastAsia="仿宋_GB2312" w:cs="仿宋"/>
          <w:sz w:val="32"/>
          <w:szCs w:val="32"/>
          <w:shd w:val="clear" w:color="auto" w:fill="FFFFFF"/>
        </w:rPr>
        <w:t>》，严查分解住院、挂床住院，违反诊疗规范过度诊疗、过度检查、分解处方、超量开药、重复开药，重复收费、超标准收费、分解项目收费，串换药品，诱导、协助他人冒名或者虚假就医、购药。依法严厉打击、严肃惩戒违法违规使用医保基金行为。</w:t>
      </w:r>
      <w:r>
        <w:rPr>
          <w:rFonts w:hint="eastAsia" w:ascii="仿宋_GB2312" w:hAnsi="仿宋" w:eastAsia="仿宋_GB2312" w:cs="仿宋"/>
          <w:sz w:val="32"/>
          <w:szCs w:val="32"/>
          <w:shd w:val="clear" w:color="auto" w:fill="FFFFFF"/>
        </w:rPr>
        <w:br w:type="textWrapping"/>
      </w:r>
      <w:r>
        <w:rPr>
          <w:rFonts w:hint="eastAsia" w:ascii="仿宋_GB2312" w:hAnsi="仿宋" w:eastAsia="仿宋_GB2312" w:cs="仿宋"/>
          <w:sz w:val="32"/>
          <w:szCs w:val="32"/>
          <w:shd w:val="clear" w:color="auto" w:fill="FFFFFF"/>
        </w:rPr>
        <w:t xml:space="preserve">    </w:t>
      </w:r>
      <w:r>
        <w:rPr>
          <w:rStyle w:val="7"/>
          <w:rFonts w:hint="eastAsia" w:ascii="黑体" w:hAnsi="黑体" w:eastAsia="黑体" w:cs="黑体"/>
          <w:b w:val="0"/>
          <w:sz w:val="32"/>
          <w:szCs w:val="32"/>
          <w:shd w:val="clear" w:color="auto" w:fill="FFFFFF"/>
        </w:rPr>
        <w:t>四、持续整治收受“红包”等医疗乱象</w:t>
      </w:r>
      <w:r>
        <w:rPr>
          <w:rStyle w:val="7"/>
          <w:rFonts w:hint="eastAsia" w:ascii="仿宋_GB2312" w:hAnsi="黑体" w:eastAsia="仿宋_GB2312" w:cs="黑体"/>
          <w:sz w:val="32"/>
          <w:szCs w:val="32"/>
          <w:shd w:val="clear" w:color="auto" w:fill="FFFFFF"/>
        </w:rPr>
        <w:br w:type="textWrapping"/>
      </w:r>
      <w:r>
        <w:rPr>
          <w:rFonts w:hint="eastAsia" w:ascii="仿宋_GB2312" w:hAnsi="仿宋" w:eastAsia="仿宋_GB2312" w:cs="仿宋"/>
          <w:sz w:val="32"/>
          <w:szCs w:val="32"/>
          <w:shd w:val="clear" w:color="auto" w:fill="FFFFFF"/>
        </w:rPr>
        <w:t xml:space="preserve">    巩固专项治理成效，完善回访制度、畅通举报途径、加强线索查办，纠治收受“红包”、术中加项、“持刀加价”、小病大治、重复检查、捆绑推销药品耗材、将普通食品冒充特医食品推荐给患者、医疗机构内宣传和销售母乳代用品等行为，及时清除影响群众就医获得感的行风问题。</w:t>
      </w:r>
      <w:r>
        <w:rPr>
          <w:rFonts w:hint="eastAsia" w:ascii="仿宋_GB2312" w:hAnsi="仿宋" w:eastAsia="仿宋_GB2312" w:cs="仿宋"/>
          <w:sz w:val="32"/>
          <w:szCs w:val="32"/>
          <w:shd w:val="clear" w:color="auto" w:fill="FFFFFF"/>
        </w:rPr>
        <w:br w:type="textWrapping"/>
      </w:r>
      <w:r>
        <w:rPr>
          <w:rFonts w:hint="eastAsia" w:ascii="仿宋_GB2312" w:hAnsi="仿宋" w:eastAsia="仿宋_GB2312" w:cs="仿宋"/>
          <w:sz w:val="32"/>
          <w:szCs w:val="32"/>
          <w:shd w:val="clear" w:color="auto" w:fill="FFFFFF"/>
        </w:rPr>
        <w:t xml:space="preserve">    </w:t>
      </w:r>
      <w:r>
        <w:rPr>
          <w:rStyle w:val="7"/>
          <w:rFonts w:hint="eastAsia" w:ascii="黑体" w:hAnsi="黑体" w:eastAsia="黑体" w:cs="黑体"/>
          <w:b w:val="0"/>
          <w:sz w:val="32"/>
          <w:szCs w:val="32"/>
          <w:shd w:val="clear" w:color="auto" w:fill="FFFFFF"/>
        </w:rPr>
        <w:t>五、保持打击“回扣”行为高压态势</w:t>
      </w:r>
      <w:r>
        <w:rPr>
          <w:rFonts w:hint="eastAsia" w:ascii="仿宋_GB2312" w:hAnsi="仿宋" w:eastAsia="仿宋_GB2312" w:cs="仿宋"/>
          <w:sz w:val="32"/>
          <w:szCs w:val="32"/>
          <w:shd w:val="clear" w:color="auto" w:fill="FFFFFF"/>
        </w:rPr>
        <w:br w:type="textWrapping"/>
      </w:r>
      <w:r>
        <w:rPr>
          <w:rFonts w:hint="eastAsia" w:ascii="仿宋_GB2312" w:hAnsi="仿宋" w:eastAsia="仿宋_GB2312" w:cs="仿宋"/>
          <w:sz w:val="32"/>
          <w:szCs w:val="32"/>
          <w:shd w:val="clear" w:color="auto" w:fill="FFFFFF"/>
        </w:rPr>
        <w:t xml:space="preserve">    以医疗机构负责人、重点科室负责人和涉及药品、器械、耗材、试剂、设备、基建等科室岗位负责人作为回扣治理重点，在药品、医用耗材、诊疗项目和服务设施等方面，充分运用公立医院绩效考核、医疗大数据监管、集采中选产品使用，开展回扣问题专项排查检查，对于查实的问题要依法依规从严处理。相关企业给付回扣、捆绑推销药品耗材等商业贿赂违法线索，移交市场监管部门处理。</w:t>
      </w:r>
      <w:r>
        <w:rPr>
          <w:rFonts w:hint="eastAsia" w:ascii="仿宋_GB2312" w:hAnsi="仿宋" w:eastAsia="仿宋_GB2312" w:cs="仿宋"/>
          <w:sz w:val="32"/>
          <w:szCs w:val="32"/>
          <w:shd w:val="clear" w:color="auto" w:fill="FFFFFF"/>
        </w:rPr>
        <w:br w:type="textWrapping"/>
      </w:r>
      <w:r>
        <w:rPr>
          <w:rFonts w:hint="eastAsia" w:ascii="仿宋_GB2312" w:hAnsi="仿宋" w:eastAsia="仿宋_GB2312" w:cs="仿宋"/>
          <w:sz w:val="32"/>
          <w:szCs w:val="32"/>
          <w:shd w:val="clear" w:color="auto" w:fill="FFFFFF"/>
        </w:rPr>
        <w:t xml:space="preserve">    </w:t>
      </w:r>
      <w:r>
        <w:rPr>
          <w:rStyle w:val="7"/>
          <w:rFonts w:hint="eastAsia" w:ascii="黑体" w:hAnsi="黑体" w:eastAsia="黑体" w:cs="黑体"/>
          <w:b w:val="0"/>
          <w:sz w:val="32"/>
          <w:szCs w:val="32"/>
          <w:shd w:val="clear" w:color="auto" w:fill="FFFFFF"/>
        </w:rPr>
        <w:t>六、坚决纠正扰乱医疗服务领域行业秩序行为</w:t>
      </w:r>
      <w:r>
        <w:rPr>
          <w:rStyle w:val="7"/>
          <w:rFonts w:hint="eastAsia" w:ascii="仿宋_GB2312" w:hAnsi="黑体" w:eastAsia="仿宋_GB2312" w:cs="黑体"/>
          <w:sz w:val="32"/>
          <w:szCs w:val="32"/>
          <w:shd w:val="clear" w:color="auto" w:fill="FFFFFF"/>
        </w:rPr>
        <w:br w:type="textWrapping"/>
      </w:r>
      <w:r>
        <w:rPr>
          <w:rFonts w:hint="eastAsia" w:ascii="仿宋_GB2312" w:hAnsi="仿宋" w:eastAsia="仿宋_GB2312" w:cs="仿宋"/>
          <w:sz w:val="32"/>
          <w:szCs w:val="32"/>
          <w:shd w:val="clear" w:color="auto" w:fill="FFFFFF"/>
        </w:rPr>
        <w:t xml:space="preserve">    规范医疗机构名称，打击仿冒混淆、虚假宣传、商业贿赂及发布违法医疗广告等行为，整治医疗美容行业使用走私贩私、假冒伪劣产品以及保健品领域乱象。深入开展卫生健康行业内扫黑除恶，严厉打击线上和线下号贩子、“黑救护”“黑医院”“黑诊所”以及威胁医务人员人身安全的违法犯罪行为，推进平安医院建设。</w:t>
      </w:r>
      <w:r>
        <w:rPr>
          <w:rFonts w:hint="eastAsia" w:ascii="仿宋_GB2312" w:hAnsi="仿宋" w:eastAsia="仿宋_GB2312" w:cs="仿宋"/>
          <w:sz w:val="32"/>
          <w:szCs w:val="32"/>
          <w:shd w:val="clear" w:color="auto" w:fill="FFFFFF"/>
        </w:rPr>
        <w:br w:type="textWrapping"/>
      </w:r>
      <w:r>
        <w:rPr>
          <w:rFonts w:hint="eastAsia" w:ascii="仿宋_GB2312" w:hAnsi="仿宋" w:eastAsia="仿宋_GB2312" w:cs="仿宋"/>
          <w:sz w:val="32"/>
          <w:szCs w:val="32"/>
          <w:shd w:val="clear" w:color="auto" w:fill="FFFFFF"/>
        </w:rPr>
        <w:t xml:space="preserve">    </w:t>
      </w:r>
      <w:r>
        <w:rPr>
          <w:rStyle w:val="7"/>
          <w:rFonts w:hint="eastAsia" w:ascii="黑体" w:hAnsi="黑体" w:eastAsia="黑体" w:cs="黑体"/>
          <w:b w:val="0"/>
          <w:sz w:val="32"/>
          <w:szCs w:val="32"/>
          <w:shd w:val="clear" w:color="auto" w:fill="FFFFFF"/>
        </w:rPr>
        <w:t>七、全面构建“亲清”型廉洁规范的医商关系</w:t>
      </w:r>
      <w:r>
        <w:rPr>
          <w:rFonts w:hint="eastAsia" w:ascii="仿宋_GB2312" w:hAnsi="仿宋" w:eastAsia="仿宋_GB2312" w:cs="仿宋"/>
          <w:sz w:val="32"/>
          <w:szCs w:val="32"/>
          <w:shd w:val="clear" w:color="auto" w:fill="FFFFFF"/>
        </w:rPr>
        <w:br w:type="textWrapping"/>
      </w:r>
      <w:r>
        <w:rPr>
          <w:rFonts w:hint="eastAsia" w:ascii="仿宋_GB2312" w:hAnsi="仿宋" w:eastAsia="仿宋_GB2312" w:cs="仿宋"/>
          <w:sz w:val="32"/>
          <w:szCs w:val="32"/>
          <w:shd w:val="clear" w:color="auto" w:fill="FFFFFF"/>
        </w:rPr>
        <w:t xml:space="preserve">    构建“亲清”守纪的医商关系，划清交往底线。严禁借助任何名义进行利益输送；严禁收受利益企业财物、接受招待、领取报酬。加强对所属人员的监督，对有关工作人员与利益相关企业人员交往中出现的苗头性、倾向性问题，早发现、早提醒、早纠正。利益输送相关企业违法违规线索，移交市场监管部门处理。</w:t>
      </w:r>
      <w:r>
        <w:rPr>
          <w:rFonts w:hint="eastAsia" w:ascii="仿宋_GB2312" w:hAnsi="仿宋" w:eastAsia="仿宋_GB2312" w:cs="仿宋"/>
          <w:sz w:val="32"/>
          <w:szCs w:val="32"/>
          <w:shd w:val="clear" w:color="auto" w:fill="FFFFFF"/>
        </w:rPr>
        <w:br w:type="textWrapping"/>
      </w:r>
      <w:r>
        <w:rPr>
          <w:rFonts w:hint="eastAsia" w:ascii="仿宋_GB2312" w:hAnsi="仿宋" w:eastAsia="仿宋_GB2312" w:cs="仿宋"/>
          <w:sz w:val="32"/>
          <w:szCs w:val="32"/>
          <w:shd w:val="clear" w:color="auto" w:fill="FFFFFF"/>
        </w:rPr>
        <w:t xml:space="preserve">    </w:t>
      </w:r>
      <w:r>
        <w:rPr>
          <w:rStyle w:val="7"/>
          <w:rFonts w:hint="eastAsia" w:ascii="黑体" w:hAnsi="黑体" w:eastAsia="黑体" w:cs="黑体"/>
          <w:b w:val="0"/>
          <w:sz w:val="32"/>
          <w:szCs w:val="32"/>
          <w:shd w:val="clear" w:color="auto" w:fill="FFFFFF"/>
        </w:rPr>
        <w:t>八、加大不正之风案件联合惩戒力度</w:t>
      </w:r>
      <w:r>
        <w:rPr>
          <w:rStyle w:val="7"/>
          <w:rFonts w:hint="eastAsia" w:ascii="仿宋_GB2312" w:hAnsi="黑体" w:eastAsia="仿宋_GB2312" w:cs="黑体"/>
          <w:sz w:val="32"/>
          <w:szCs w:val="32"/>
          <w:shd w:val="clear" w:color="auto" w:fill="FFFFFF"/>
        </w:rPr>
        <w:br w:type="textWrapping"/>
      </w:r>
      <w:r>
        <w:rPr>
          <w:rFonts w:hint="eastAsia" w:ascii="仿宋_GB2312" w:hAnsi="仿宋" w:eastAsia="仿宋_GB2312" w:cs="仿宋"/>
          <w:sz w:val="32"/>
          <w:szCs w:val="32"/>
          <w:shd w:val="clear" w:color="auto" w:fill="FFFFFF"/>
        </w:rPr>
        <w:t xml:space="preserve">    对纠风工作中发现的医商勾结、利益输送、商业贿赂、虚开发票、偷逃税款等违法行为及问题线索要严查快结。要依托药品和医用耗材集中采购市场，对涉案的药品和耗材实施信用评级，采取限制或中止挂网、采购，披露失信信息等约束措施。</w:t>
      </w:r>
      <w:r>
        <w:rPr>
          <w:rFonts w:hint="eastAsia" w:ascii="仿宋_GB2312" w:hAnsi="仿宋" w:eastAsia="仿宋_GB2312" w:cs="仿宋"/>
          <w:sz w:val="32"/>
          <w:szCs w:val="32"/>
          <w:shd w:val="clear" w:color="auto" w:fill="FFFFFF"/>
        </w:rPr>
        <w:br w:type="textWrapping"/>
      </w:r>
      <w:r>
        <w:rPr>
          <w:rFonts w:hint="eastAsia" w:ascii="仿宋_GB2312" w:hAnsi="仿宋" w:eastAsia="仿宋_GB2312" w:cs="仿宋"/>
          <w:sz w:val="32"/>
          <w:szCs w:val="32"/>
          <w:shd w:val="clear" w:color="auto" w:fill="FFFFFF"/>
        </w:rPr>
        <w:t xml:space="preserve">    </w:t>
      </w:r>
      <w:r>
        <w:rPr>
          <w:rStyle w:val="7"/>
          <w:rFonts w:hint="eastAsia" w:ascii="黑体" w:hAnsi="黑体" w:eastAsia="黑体" w:cs="黑体"/>
          <w:b w:val="0"/>
          <w:sz w:val="32"/>
          <w:szCs w:val="32"/>
          <w:shd w:val="clear" w:color="auto" w:fill="FFFFFF"/>
        </w:rPr>
        <w:t>九、高位引领推动纠风工作落地见效</w:t>
      </w:r>
      <w:r>
        <w:rPr>
          <w:rStyle w:val="7"/>
          <w:rFonts w:hint="eastAsia" w:ascii="仿宋_GB2312" w:hAnsi="仿宋" w:eastAsia="仿宋_GB2312" w:cs="仿宋"/>
          <w:sz w:val="32"/>
          <w:szCs w:val="32"/>
          <w:shd w:val="clear" w:color="auto" w:fill="FFFFFF"/>
        </w:rPr>
        <w:br w:type="textWrapping"/>
      </w:r>
      <w:r>
        <w:rPr>
          <w:rStyle w:val="7"/>
          <w:rFonts w:hint="eastAsia" w:ascii="仿宋_GB2312" w:hAnsi="仿宋" w:eastAsia="仿宋_GB2312" w:cs="仿宋"/>
          <w:sz w:val="32"/>
          <w:szCs w:val="32"/>
          <w:shd w:val="clear" w:color="auto" w:fill="FFFFFF"/>
        </w:rPr>
        <w:t xml:space="preserve">    </w:t>
      </w:r>
      <w:r>
        <w:rPr>
          <w:rFonts w:hint="eastAsia" w:ascii="仿宋_GB2312" w:hAnsi="仿宋" w:eastAsia="仿宋_GB2312" w:cs="仿宋"/>
          <w:sz w:val="32"/>
          <w:szCs w:val="32"/>
          <w:shd w:val="clear" w:color="auto" w:fill="FFFFFF"/>
        </w:rPr>
        <w:t>持续加强党对纠风工作的全面领导，深入落实纠风工作主体责任，强化行业监管和内部治理。不断提升部门间联动协作效能，探索专业领域由专业部门牵头，机制单位配合的“专项+”工作模式。强化“三医联动”，将医疗、医保、医药领域行风建设一体研究、一体推进，全面融入医改政策。在落实纠风要点过程中，要注意选树行业作风先进典型，充分发挥先进典型的激励、示范和导向作用。</w:t>
      </w:r>
    </w:p>
    <w:p>
      <w:pPr>
        <w:pStyle w:val="4"/>
        <w:widowControl/>
        <w:shd w:val="clear" w:color="auto" w:fill="FFFFFF"/>
        <w:adjustRightInd w:val="0"/>
        <w:snapToGrid w:val="0"/>
        <w:spacing w:before="0" w:beforeAutospacing="0" w:after="0" w:afterAutospacing="0" w:line="590" w:lineRule="exact"/>
        <w:ind w:firstLine="640" w:firstLineChars="200"/>
        <w:rPr>
          <w:rFonts w:hint="eastAsia" w:ascii="黑体" w:hAnsi="黑体" w:eastAsia="黑体" w:cs="仿宋"/>
          <w:b/>
          <w:sz w:val="32"/>
          <w:szCs w:val="32"/>
        </w:rPr>
      </w:pPr>
      <w:r>
        <w:rPr>
          <w:rStyle w:val="7"/>
          <w:rFonts w:hint="eastAsia" w:ascii="黑体" w:hAnsi="黑体" w:eastAsia="黑体" w:cs="黑体"/>
          <w:b w:val="0"/>
          <w:sz w:val="32"/>
          <w:szCs w:val="32"/>
          <w:shd w:val="clear" w:color="auto" w:fill="FFFFFF"/>
        </w:rPr>
        <w:t>十、进一步完善行风管理制度</w:t>
      </w:r>
    </w:p>
    <w:p>
      <w:pPr>
        <w:pStyle w:val="4"/>
        <w:widowControl/>
        <w:shd w:val="clear" w:color="auto" w:fill="FFFFFF"/>
        <w:adjustRightInd w:val="0"/>
        <w:snapToGrid w:val="0"/>
        <w:spacing w:before="0" w:beforeAutospacing="0" w:after="0" w:afterAutospacing="0" w:line="59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以现行党内法规和法律法规为依据，升级完善医疗卫生“九不准”，针对当前行业乱象的突出表现形式， 配套对应罚则建议，指导各地各级卫生健康行政部门和医疗卫生机构，制定贯彻落实“九不准”升级版的具体办法，确保政策层层细化、落地见效。</w:t>
      </w:r>
      <w:r>
        <w:rPr>
          <w:rFonts w:hint="eastAsia" w:ascii="仿宋_GB2312" w:hAnsi="仿宋" w:eastAsia="仿宋_GB2312" w:cs="仿宋"/>
          <w:sz w:val="32"/>
          <w:szCs w:val="32"/>
          <w:shd w:val="clear" w:color="auto" w:fill="FFFFFF"/>
        </w:rPr>
        <w:br w:type="textWrapping"/>
      </w:r>
      <w:r>
        <w:rPr>
          <w:rFonts w:hint="eastAsia" w:ascii="仿宋_GB2312" w:hAnsi="仿宋" w:eastAsia="仿宋_GB2312" w:cs="仿宋"/>
          <w:sz w:val="32"/>
          <w:szCs w:val="32"/>
          <w:shd w:val="clear" w:color="auto" w:fill="FFFFFF"/>
        </w:rPr>
        <w:t xml:space="preserve">    </w:t>
      </w:r>
    </w:p>
    <w:p>
      <w:pPr>
        <w:rPr>
          <w:rStyle w:val="7"/>
          <w:rFonts w:hint="eastAsia" w:ascii="仿宋_GB2312" w:hAnsi="仿宋" w:eastAsia="仿宋_GB2312" w:cs="仿宋"/>
          <w:b w:val="0"/>
          <w:sz w:val="32"/>
          <w:szCs w:val="32"/>
          <w:shd w:val="clear" w:color="auto" w:fill="FFFFFF"/>
        </w:rPr>
      </w:pPr>
      <w:r>
        <w:rPr>
          <w:rFonts w:hint="eastAsia" w:ascii="仿宋_GB2312" w:hAnsi="仿宋" w:cs="仿宋"/>
          <w:sz w:val="32"/>
          <w:szCs w:val="32"/>
          <w:shd w:val="clear" w:color="auto" w:fill="FFFFFF"/>
          <w:lang w:eastAsia="zh-CN"/>
        </w:rPr>
        <w:t>　　</w:t>
      </w:r>
      <w:r>
        <w:rPr>
          <w:rFonts w:hint="eastAsia" w:ascii="仿宋_GB2312" w:hAnsi="仿宋" w:eastAsia="仿宋_GB2312" w:cs="仿宋"/>
          <w:sz w:val="32"/>
          <w:szCs w:val="32"/>
          <w:shd w:val="clear" w:color="auto" w:fill="FFFFFF"/>
        </w:rPr>
        <w:t>附件：</w:t>
      </w:r>
      <w:r>
        <w:rPr>
          <w:rStyle w:val="7"/>
          <w:rFonts w:hint="eastAsia" w:ascii="仿宋_GB2312" w:hAnsi="仿宋" w:eastAsia="仿宋_GB2312" w:cs="仿宋"/>
          <w:b w:val="0"/>
          <w:sz w:val="32"/>
          <w:szCs w:val="32"/>
          <w:shd w:val="clear" w:color="auto" w:fill="FFFFFF"/>
        </w:rPr>
        <w:t>2021年纠正医药购销领域和医疗服务中不正之风专项治理工作要点任务分工表</w:t>
      </w:r>
    </w:p>
    <w:p>
      <w:pPr>
        <w:rPr>
          <w:rStyle w:val="7"/>
          <w:rFonts w:hint="eastAsia" w:ascii="仿宋_GB2312" w:hAnsi="仿宋" w:eastAsia="仿宋_GB2312" w:cs="仿宋"/>
          <w:b w:val="0"/>
          <w:sz w:val="32"/>
          <w:szCs w:val="32"/>
          <w:shd w:val="clear" w:color="auto" w:fill="FFFFFF"/>
        </w:rPr>
      </w:pPr>
      <w:r>
        <w:rPr>
          <w:rStyle w:val="7"/>
          <w:rFonts w:hint="eastAsia" w:ascii="仿宋_GB2312" w:hAnsi="仿宋" w:eastAsia="仿宋_GB2312" w:cs="仿宋"/>
          <w:b w:val="0"/>
          <w:sz w:val="32"/>
          <w:szCs w:val="32"/>
          <w:shd w:val="clear" w:color="auto" w:fill="FFFFFF"/>
        </w:rPr>
        <w:br w:type="page"/>
      </w:r>
    </w:p>
    <w:p>
      <w:pPr>
        <w:rPr>
          <w:rFonts w:hint="eastAsia" w:ascii="仿宋_GB2312" w:hAnsi="仿宋" w:eastAsia="仿宋_GB2312" w:cs="仿宋"/>
          <w:b/>
          <w:sz w:val="32"/>
          <w:szCs w:val="32"/>
          <w:shd w:val="clear" w:color="auto" w:fill="FFFFFF"/>
        </w:rPr>
        <w:sectPr>
          <w:pgSz w:w="11906" w:h="16838"/>
          <w:pgMar w:top="1440" w:right="1800" w:bottom="1440" w:left="1800" w:header="851" w:footer="992" w:gutter="0"/>
          <w:cols w:space="425" w:num="1"/>
          <w:docGrid w:type="lines" w:linePitch="312" w:charSpace="0"/>
        </w:sectPr>
      </w:pPr>
    </w:p>
    <w:p>
      <w:pPr>
        <w:pStyle w:val="4"/>
        <w:widowControl/>
        <w:shd w:val="clear" w:color="auto" w:fill="FFFFFF"/>
        <w:spacing w:before="0" w:beforeAutospacing="0" w:after="0" w:afterAutospacing="0" w:line="600" w:lineRule="exact"/>
        <w:jc w:val="center"/>
        <w:rPr>
          <w:rStyle w:val="7"/>
          <w:rFonts w:hint="eastAsia" w:ascii="方正小标宋简体" w:hAnsi="黑体" w:eastAsia="方正小标宋简体" w:cs="黑体"/>
          <w:b w:val="0"/>
          <w:sz w:val="44"/>
          <w:szCs w:val="44"/>
          <w:shd w:val="clear" w:color="auto" w:fill="FFFFFF"/>
        </w:rPr>
      </w:pPr>
      <w:r>
        <w:rPr>
          <w:rStyle w:val="7"/>
          <w:rFonts w:hint="eastAsia" w:ascii="方正小标宋简体" w:hAnsi="黑体" w:eastAsia="方正小标宋简体" w:cs="黑体"/>
          <w:b w:val="0"/>
          <w:sz w:val="44"/>
          <w:szCs w:val="44"/>
          <w:shd w:val="clear" w:color="auto" w:fill="FFFFFF"/>
        </w:rPr>
        <w:t>2021年纠正医药购销领域和医疗服务中不正之风</w:t>
      </w:r>
    </w:p>
    <w:p>
      <w:pPr>
        <w:pStyle w:val="4"/>
        <w:widowControl/>
        <w:shd w:val="clear" w:color="auto" w:fill="FFFFFF"/>
        <w:spacing w:before="0" w:beforeAutospacing="0" w:after="0" w:afterAutospacing="0" w:line="440" w:lineRule="exact"/>
        <w:jc w:val="center"/>
        <w:rPr>
          <w:rStyle w:val="7"/>
          <w:rFonts w:hint="eastAsia" w:ascii="方正小标宋简体" w:hAnsi="黑体" w:eastAsia="方正小标宋简体" w:cs="黑体"/>
          <w:b w:val="0"/>
          <w:sz w:val="44"/>
          <w:szCs w:val="44"/>
          <w:shd w:val="clear" w:color="auto" w:fill="FFFFFF"/>
        </w:rPr>
      </w:pPr>
      <w:r>
        <w:rPr>
          <w:rStyle w:val="7"/>
          <w:rFonts w:hint="eastAsia" w:ascii="方正小标宋简体" w:hAnsi="黑体" w:eastAsia="方正小标宋简体" w:cs="黑体"/>
          <w:b w:val="0"/>
          <w:sz w:val="44"/>
          <w:szCs w:val="44"/>
          <w:shd w:val="clear" w:color="auto" w:fill="FFFFFF"/>
        </w:rPr>
        <w:t>专项治理工作要点任务分工表</w:t>
      </w:r>
    </w:p>
    <w:p>
      <w:pPr>
        <w:pStyle w:val="4"/>
        <w:widowControl/>
        <w:shd w:val="clear" w:color="auto" w:fill="FFFFFF"/>
        <w:spacing w:before="0" w:beforeAutospacing="0" w:after="0" w:afterAutospacing="0" w:line="440" w:lineRule="exact"/>
        <w:jc w:val="center"/>
        <w:rPr>
          <w:rStyle w:val="7"/>
          <w:rFonts w:hint="eastAsia" w:ascii="方正小标宋简体" w:hAnsi="黑体" w:eastAsia="方正小标宋简体" w:cs="黑体"/>
          <w:b w:val="0"/>
          <w:sz w:val="44"/>
          <w:szCs w:val="44"/>
          <w:shd w:val="clear" w:color="auto" w:fill="FFFFFF"/>
        </w:rPr>
      </w:pPr>
    </w:p>
    <w:tbl>
      <w:tblPr>
        <w:tblStyle w:val="5"/>
        <w:tblW w:w="4935"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63"/>
        <w:gridCol w:w="1702"/>
        <w:gridCol w:w="6415"/>
        <w:gridCol w:w="3162"/>
        <w:gridCol w:w="14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Header/>
          <w:jc w:val="center"/>
        </w:trPr>
        <w:tc>
          <w:tcPr>
            <w:tcW w:w="351"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600" w:lineRule="exact"/>
              <w:ind w:leftChars="-1" w:hanging="2" w:hangingChars="1"/>
              <w:jc w:val="center"/>
              <w:rPr>
                <w:rFonts w:hint="eastAsia" w:ascii="黑体" w:hAnsi="黑体" w:eastAsia="黑体" w:cs="仿宋"/>
                <w:color w:val="000000"/>
                <w:sz w:val="28"/>
                <w:szCs w:val="28"/>
              </w:rPr>
            </w:pPr>
            <w:r>
              <w:rPr>
                <w:rFonts w:hint="eastAsia" w:ascii="黑体" w:hAnsi="黑体" w:eastAsia="黑体" w:cs="仿宋"/>
                <w:color w:val="000000"/>
                <w:kern w:val="0"/>
                <w:sz w:val="28"/>
                <w:szCs w:val="28"/>
                <w:lang w:bidi="ar"/>
              </w:rPr>
              <w:t>序号</w:t>
            </w:r>
          </w:p>
        </w:tc>
        <w:tc>
          <w:tcPr>
            <w:tcW w:w="2957" w:type="pct"/>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600" w:lineRule="exact"/>
              <w:ind w:firstLine="560" w:firstLineChars="200"/>
              <w:jc w:val="center"/>
              <w:rPr>
                <w:rFonts w:hint="eastAsia" w:ascii="黑体" w:hAnsi="黑体" w:eastAsia="黑体" w:cs="仿宋"/>
                <w:color w:val="000000"/>
                <w:sz w:val="28"/>
                <w:szCs w:val="28"/>
              </w:rPr>
            </w:pPr>
            <w:r>
              <w:rPr>
                <w:rFonts w:hint="eastAsia" w:ascii="黑体" w:hAnsi="黑体" w:eastAsia="黑体" w:cs="仿宋"/>
                <w:color w:val="000000"/>
                <w:kern w:val="0"/>
                <w:sz w:val="28"/>
                <w:szCs w:val="28"/>
                <w:lang w:bidi="ar"/>
              </w:rPr>
              <w:t>重点任务</w:t>
            </w:r>
          </w:p>
        </w:tc>
        <w:tc>
          <w:tcPr>
            <w:tcW w:w="1152"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600" w:lineRule="exact"/>
              <w:ind w:firstLine="560" w:firstLineChars="200"/>
              <w:jc w:val="center"/>
              <w:rPr>
                <w:rFonts w:hint="eastAsia" w:ascii="黑体" w:hAnsi="黑体" w:eastAsia="黑体" w:cs="仿宋"/>
                <w:color w:val="000000"/>
                <w:sz w:val="28"/>
                <w:szCs w:val="28"/>
              </w:rPr>
            </w:pPr>
            <w:r>
              <w:rPr>
                <w:rFonts w:hint="eastAsia" w:ascii="黑体" w:hAnsi="黑体" w:eastAsia="黑体" w:cs="仿宋"/>
                <w:color w:val="000000"/>
                <w:kern w:val="0"/>
                <w:sz w:val="28"/>
                <w:szCs w:val="28"/>
                <w:lang w:bidi="ar"/>
              </w:rPr>
              <w:t>责任单位</w:t>
            </w:r>
          </w:p>
        </w:tc>
        <w:tc>
          <w:tcPr>
            <w:tcW w:w="54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600" w:lineRule="exact"/>
              <w:jc w:val="center"/>
              <w:rPr>
                <w:rFonts w:hint="eastAsia" w:ascii="黑体" w:hAnsi="黑体" w:eastAsia="黑体" w:cs="仿宋"/>
                <w:color w:val="000000"/>
                <w:sz w:val="28"/>
                <w:szCs w:val="28"/>
              </w:rPr>
            </w:pPr>
            <w:r>
              <w:rPr>
                <w:rFonts w:hint="eastAsia" w:ascii="黑体" w:hAnsi="黑体" w:eastAsia="黑体" w:cs="仿宋"/>
                <w:color w:val="000000"/>
                <w:kern w:val="0"/>
                <w:sz w:val="28"/>
                <w:szCs w:val="28"/>
                <w:lang w:bidi="ar"/>
              </w:rPr>
              <w:t>完成时限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1"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1</w:t>
            </w:r>
          </w:p>
        </w:tc>
        <w:tc>
          <w:tcPr>
            <w:tcW w:w="62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坚决维护疫苗接种工作顺利实施    </w:t>
            </w:r>
          </w:p>
        </w:tc>
        <w:tc>
          <w:tcPr>
            <w:tcW w:w="2337"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加强重点省份的医疗物资质量专项督导。深入开展打击涉疫苗犯罪专项行动，依法严厉打击疫苗领域制假售假、非法经营、走私，以及疫苗接种过程中发生的非法行医和以疫苗为幌子进行诈骗等犯罪行为。</w:t>
            </w:r>
          </w:p>
        </w:tc>
        <w:tc>
          <w:tcPr>
            <w:tcW w:w="1152"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国家卫生健康委、国家市场监管总局、公安部、国家中医药局、国家药监局按职责分别牵头</w:t>
            </w:r>
          </w:p>
        </w:tc>
        <w:tc>
          <w:tcPr>
            <w:tcW w:w="54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12月底前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1"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2</w:t>
            </w:r>
          </w:p>
        </w:tc>
        <w:tc>
          <w:tcPr>
            <w:tcW w:w="62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打击核酸检测领域违法违规行为</w:t>
            </w:r>
          </w:p>
        </w:tc>
        <w:tc>
          <w:tcPr>
            <w:tcW w:w="2337"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加强核酸检测管理，鼓励同时提供单样检测和混样检测服务，并在醒目位置公示核酸检测价格，严禁虚标价格或超标准收费，严厉打击以快速核酸检测为名实施的诈骗或故意篡改核酸检测证明等违法行为。</w:t>
            </w:r>
          </w:p>
        </w:tc>
        <w:tc>
          <w:tcPr>
            <w:tcW w:w="1152"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国家卫生健康委、公安部、国家市场监督管理总局和国家中医药局按职责分别牵头</w:t>
            </w:r>
          </w:p>
        </w:tc>
        <w:tc>
          <w:tcPr>
            <w:tcW w:w="54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12月底前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51"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3</w:t>
            </w:r>
          </w:p>
        </w:tc>
        <w:tc>
          <w:tcPr>
            <w:tcW w:w="62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深入开展定点医疗机构规范使用医保基金专项治理</w:t>
            </w:r>
          </w:p>
        </w:tc>
        <w:tc>
          <w:tcPr>
            <w:tcW w:w="2337"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坚决贯彻落实《</w:t>
            </w:r>
            <w:r>
              <w:rPr>
                <w:rFonts w:hint="eastAsia" w:ascii="仿宋_GB2312" w:hAnsi="仿宋" w:cs="仿宋"/>
                <w:color w:val="3D3D3D"/>
                <w:kern w:val="0"/>
                <w:sz w:val="28"/>
                <w:szCs w:val="28"/>
                <w:lang w:bidi="ar"/>
              </w:rPr>
              <w:fldChar w:fldCharType="begin"/>
            </w:r>
            <w:r>
              <w:rPr>
                <w:rFonts w:hint="eastAsia" w:ascii="仿宋_GB2312" w:hAnsi="仿宋" w:cs="仿宋"/>
                <w:color w:val="3D3D3D"/>
                <w:kern w:val="0"/>
                <w:sz w:val="28"/>
                <w:szCs w:val="28"/>
                <w:lang w:bidi="ar"/>
              </w:rPr>
              <w:instrText xml:space="preserve"> HYPERLINK "https://www.waizi.org.cn/doc/104145.html" \o "《医疗保障基金使用监督管理条例》国务院令第735号（全文）" \t "https://www.waizi.org.cn/law/_blank" </w:instrText>
            </w:r>
            <w:r>
              <w:rPr>
                <w:rFonts w:hint="eastAsia" w:ascii="仿宋_GB2312" w:hAnsi="仿宋" w:cs="仿宋"/>
                <w:color w:val="3D3D3D"/>
                <w:kern w:val="0"/>
                <w:sz w:val="28"/>
                <w:szCs w:val="28"/>
                <w:lang w:bidi="ar"/>
              </w:rPr>
              <w:fldChar w:fldCharType="separate"/>
            </w:r>
            <w:r>
              <w:rPr>
                <w:rStyle w:val="9"/>
                <w:rFonts w:hint="eastAsia" w:ascii="仿宋_GB2312" w:hAnsi="仿宋" w:cs="仿宋"/>
                <w:color w:val="3D3D3D"/>
                <w:sz w:val="28"/>
                <w:szCs w:val="28"/>
                <w:u w:val="none"/>
              </w:rPr>
              <w:t>医疗保障基金使用监督管理条例</w:t>
            </w:r>
            <w:r>
              <w:rPr>
                <w:rFonts w:hint="eastAsia" w:ascii="仿宋_GB2312" w:hAnsi="仿宋" w:cs="仿宋"/>
                <w:color w:val="3D3D3D"/>
                <w:kern w:val="0"/>
                <w:sz w:val="28"/>
                <w:szCs w:val="28"/>
                <w:lang w:bidi="ar"/>
              </w:rPr>
              <w:fldChar w:fldCharType="end"/>
            </w:r>
            <w:r>
              <w:rPr>
                <w:rFonts w:hint="eastAsia" w:ascii="仿宋_GB2312" w:hAnsi="仿宋" w:cs="仿宋"/>
                <w:color w:val="000000"/>
                <w:kern w:val="0"/>
                <w:sz w:val="28"/>
                <w:szCs w:val="28"/>
                <w:lang w:bidi="ar"/>
              </w:rPr>
              <w:t>》，严查分解住院、挂床住院，违反诊疗规范过度诊疗、过度检查、分解处方、超量开药、重复开药，重复收费、超标准收费、分解项目收费，串换药品，诱导、协助他人冒名或者虚假就医、购药。依法严厉打击、严肃惩戒违法违规使用医保基金行为。</w:t>
            </w:r>
          </w:p>
        </w:tc>
        <w:tc>
          <w:tcPr>
            <w:tcW w:w="1152"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国家医保局牵头，国家卫生健康委、公安部、国家市场监督管理总局和国家中医药局配合</w:t>
            </w:r>
          </w:p>
        </w:tc>
        <w:tc>
          <w:tcPr>
            <w:tcW w:w="54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12月底前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276" w:hRule="atLeast"/>
          <w:jc w:val="center"/>
        </w:trPr>
        <w:tc>
          <w:tcPr>
            <w:tcW w:w="351"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napToGrid w:val="0"/>
              <w:spacing w:line="50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4</w:t>
            </w:r>
          </w:p>
        </w:tc>
        <w:tc>
          <w:tcPr>
            <w:tcW w:w="62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napToGrid w:val="0"/>
              <w:spacing w:line="50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持续整治收受“红包”等医疗乱象</w:t>
            </w:r>
          </w:p>
        </w:tc>
        <w:tc>
          <w:tcPr>
            <w:tcW w:w="2337"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napToGrid w:val="0"/>
              <w:spacing w:line="50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巩固专项治理成效，完善回访制度、畅通举报途径、加强线索查办，纠治收受“红包”、术中加项、“持刀加价”、小病大治、重复检查、捆绑推销药品耗材、将普通食品冒充特医食品推荐给患者、医疗机构内宣传和销售母乳代用品等行为，切实清除影响群众就医获得感的行风问题。</w:t>
            </w:r>
          </w:p>
        </w:tc>
        <w:tc>
          <w:tcPr>
            <w:tcW w:w="1152"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napToGrid w:val="0"/>
              <w:spacing w:line="50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国家卫生健康委、国家市场监管总局和国家中医药局按职责分别牵头</w:t>
            </w:r>
          </w:p>
        </w:tc>
        <w:tc>
          <w:tcPr>
            <w:tcW w:w="54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napToGrid w:val="0"/>
              <w:spacing w:line="50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12月底前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55" w:hRule="atLeast"/>
          <w:jc w:val="center"/>
        </w:trPr>
        <w:tc>
          <w:tcPr>
            <w:tcW w:w="351"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napToGrid w:val="0"/>
              <w:spacing w:line="50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5</w:t>
            </w:r>
          </w:p>
        </w:tc>
        <w:tc>
          <w:tcPr>
            <w:tcW w:w="62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napToGrid w:val="0"/>
              <w:spacing w:line="50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保持打击“回扣”行为高压态势</w:t>
            </w:r>
          </w:p>
        </w:tc>
        <w:tc>
          <w:tcPr>
            <w:tcW w:w="2337"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napToGrid w:val="0"/>
              <w:spacing w:line="50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以医疗机构负责人、重点科室负责人和涉及药品、器械、耗材、试剂、设备、基建等科室岗位负责人作为回扣治理重点，在药品、医用耗材、诊疗项目和服务设施等方面，充分运用公立医院绩效考核、医疗大数据监管、集采中选产品使用，开展回扣问题专项排查检查，对于查实的问题要依规从严处理。相关企业给付回扣、捆绑推</w:t>
            </w:r>
            <w:r>
              <w:rPr>
                <w:rFonts w:hint="eastAsia" w:ascii="仿宋_GB2312" w:hAnsi="仿宋" w:cs="仿宋"/>
                <w:color w:val="000000"/>
                <w:spacing w:val="-12"/>
                <w:kern w:val="0"/>
                <w:sz w:val="28"/>
                <w:szCs w:val="28"/>
                <w:lang w:bidi="ar"/>
              </w:rPr>
              <w:t>销药品耗材等商业贿赂违法线索，移交市场监管部门处理。</w:t>
            </w:r>
          </w:p>
        </w:tc>
        <w:tc>
          <w:tcPr>
            <w:tcW w:w="1152"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napToGrid w:val="0"/>
              <w:spacing w:line="50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国家卫生健康委、国家中医药局、国家市场监督管理总局按职责分别牵头</w:t>
            </w:r>
          </w:p>
        </w:tc>
        <w:tc>
          <w:tcPr>
            <w:tcW w:w="54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napToGrid w:val="0"/>
              <w:spacing w:line="50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12月底前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31" w:hRule="atLeast"/>
          <w:jc w:val="center"/>
        </w:trPr>
        <w:tc>
          <w:tcPr>
            <w:tcW w:w="351"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6</w:t>
            </w:r>
          </w:p>
        </w:tc>
        <w:tc>
          <w:tcPr>
            <w:tcW w:w="62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坚决纠正扰乱医疗服务领域行业秩序行为</w:t>
            </w:r>
          </w:p>
        </w:tc>
        <w:tc>
          <w:tcPr>
            <w:tcW w:w="2337"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规范医疗机构名称，打击仿冒混淆、虚假宣传及发布违法医疗广告等行为，整治医疗美容行业使用走私贩私、假冒伪劣产品以及保健品领域乱象。深入开展卫生健康行业内扫黑除恶，严厉打击网络和线下号贩子、“黑救护”“黑医院”“黑诊所”以及威胁医务人员人身安全的违法犯罪行为，推进平安医院建设。</w:t>
            </w:r>
          </w:p>
        </w:tc>
        <w:tc>
          <w:tcPr>
            <w:tcW w:w="1152"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国家卫生健康委、公安部、国家市场监督管理总局和国家中医药局按职责分别牵头</w:t>
            </w:r>
          </w:p>
        </w:tc>
        <w:tc>
          <w:tcPr>
            <w:tcW w:w="54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12月底前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43" w:hRule="atLeast"/>
          <w:jc w:val="center"/>
        </w:trPr>
        <w:tc>
          <w:tcPr>
            <w:tcW w:w="351"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7</w:t>
            </w:r>
          </w:p>
        </w:tc>
        <w:tc>
          <w:tcPr>
            <w:tcW w:w="62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全面构建“亲清”型廉洁规范的医商关系</w:t>
            </w:r>
          </w:p>
        </w:tc>
        <w:tc>
          <w:tcPr>
            <w:tcW w:w="2337"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构建“亲清”守纪的医商关系，划清交往底线。严禁借助任何名义进行利益输送；严禁收受利益企业财物、接受招待、领取报酬。加强对所属人员的监督，对有关工作人员与利益相关企业相关人员交往中出现的苗头性、倾向性问题，早发现、早提醒、早纠正。利益输送相关企业违法违规线索，移交市场监管部门处理。</w:t>
            </w:r>
          </w:p>
        </w:tc>
        <w:tc>
          <w:tcPr>
            <w:tcW w:w="1152"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国家卫生健康委、国家市场监督管理总局和国家中医药局按职责分别牵头</w:t>
            </w:r>
          </w:p>
        </w:tc>
        <w:tc>
          <w:tcPr>
            <w:tcW w:w="54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12月底前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1"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8</w:t>
            </w:r>
          </w:p>
        </w:tc>
        <w:tc>
          <w:tcPr>
            <w:tcW w:w="62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加大不正之风案件联合惩戒力度</w:t>
            </w:r>
          </w:p>
        </w:tc>
        <w:tc>
          <w:tcPr>
            <w:tcW w:w="2337"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纠风工作中发现的医商勾结、利益输送、商业贿赂、虚开发票、偷逃税款等违法行为及问题线索要严查快结。要依托药品和医用耗材集中采购市场，对涉案的药品和耗材实施信用评级，采取限制或中止挂网、采购，披露失信信息等约束措施。</w:t>
            </w:r>
          </w:p>
        </w:tc>
        <w:tc>
          <w:tcPr>
            <w:tcW w:w="1152"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国家卫生健康委、国家税务总局、国家市场监管总局、国家医保局和国家中医药局分别按职责牵头</w:t>
            </w:r>
          </w:p>
        </w:tc>
        <w:tc>
          <w:tcPr>
            <w:tcW w:w="54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44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12月底前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49" w:hRule="atLeast"/>
          <w:jc w:val="center"/>
        </w:trPr>
        <w:tc>
          <w:tcPr>
            <w:tcW w:w="351"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pacing w:line="50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9</w:t>
            </w:r>
          </w:p>
        </w:tc>
        <w:tc>
          <w:tcPr>
            <w:tcW w:w="62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pacing w:line="50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高位引领推动纠风工作落地见效</w:t>
            </w:r>
          </w:p>
        </w:tc>
        <w:tc>
          <w:tcPr>
            <w:tcW w:w="2337"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pacing w:line="50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持续加强党对纠风工作的全面领导，深入落实纠风工作主体责任，强化行业监管和内部治理。不断提升部门间联动协作效能，探索专业领域由专业部门牵头，机制单位配合的“专项+”工作模式。充分发挥医改领导小组秘书处职责，强化“三医联动”，将医疗、医保、医药3方面行风建设一体研究、一体推进。在落实纠风要点过程中，要注意选树行业作风先进典型，充分发挥先进典型</w:t>
            </w:r>
            <w:bookmarkStart w:id="0" w:name="_GoBack"/>
            <w:bookmarkEnd w:id="0"/>
            <w:r>
              <w:rPr>
                <w:rFonts w:hint="eastAsia" w:ascii="仿宋_GB2312" w:hAnsi="仿宋" w:cs="仿宋"/>
                <w:color w:val="000000"/>
                <w:kern w:val="0"/>
                <w:sz w:val="28"/>
                <w:szCs w:val="28"/>
                <w:lang w:bidi="ar"/>
              </w:rPr>
              <w:t>的激励、示范和导向作用</w:t>
            </w:r>
          </w:p>
        </w:tc>
        <w:tc>
          <w:tcPr>
            <w:tcW w:w="1152"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pacing w:line="50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国家卫生健康委牵头，机制成员单位按职责共同推进</w:t>
            </w:r>
          </w:p>
        </w:tc>
        <w:tc>
          <w:tcPr>
            <w:tcW w:w="54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pacing w:line="50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12月底前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5" w:hRule="atLeast"/>
          <w:jc w:val="center"/>
        </w:trPr>
        <w:tc>
          <w:tcPr>
            <w:tcW w:w="351"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pacing w:line="50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10</w:t>
            </w:r>
          </w:p>
        </w:tc>
        <w:tc>
          <w:tcPr>
            <w:tcW w:w="62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pacing w:line="50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进一步完善行风管理制度</w:t>
            </w:r>
          </w:p>
        </w:tc>
        <w:tc>
          <w:tcPr>
            <w:tcW w:w="2337"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pacing w:line="50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出台覆盖范围更广、操作性更强的医疗卫生“九不准”升级版，参照《</w:t>
            </w:r>
            <w:r>
              <w:rPr>
                <w:rFonts w:hint="eastAsia" w:ascii="仿宋_GB2312" w:hAnsi="仿宋" w:cs="仿宋"/>
                <w:color w:val="3D3D3D"/>
                <w:kern w:val="0"/>
                <w:sz w:val="28"/>
                <w:szCs w:val="28"/>
                <w:lang w:bidi="ar"/>
              </w:rPr>
              <w:fldChar w:fldCharType="begin"/>
            </w:r>
            <w:r>
              <w:rPr>
                <w:rFonts w:hint="eastAsia" w:ascii="仿宋_GB2312" w:hAnsi="仿宋" w:cs="仿宋"/>
                <w:color w:val="3D3D3D"/>
                <w:kern w:val="0"/>
                <w:sz w:val="28"/>
                <w:szCs w:val="28"/>
                <w:lang w:bidi="ar"/>
              </w:rPr>
              <w:instrText xml:space="preserve"> HYPERLINK "https://www.waizi.org.cn/file/41161.html" \o "《中国共产党纪律处分条例》2018年修订版（全文）" \t "https://www.waizi.org.cn/law/_blank" </w:instrText>
            </w:r>
            <w:r>
              <w:rPr>
                <w:rFonts w:hint="eastAsia" w:ascii="仿宋_GB2312" w:hAnsi="仿宋" w:cs="仿宋"/>
                <w:color w:val="3D3D3D"/>
                <w:kern w:val="0"/>
                <w:sz w:val="28"/>
                <w:szCs w:val="28"/>
                <w:lang w:bidi="ar"/>
              </w:rPr>
              <w:fldChar w:fldCharType="separate"/>
            </w:r>
            <w:r>
              <w:rPr>
                <w:rStyle w:val="9"/>
                <w:rFonts w:hint="eastAsia" w:ascii="仿宋_GB2312" w:hAnsi="仿宋" w:cs="仿宋"/>
                <w:color w:val="3D3D3D"/>
                <w:sz w:val="28"/>
                <w:szCs w:val="28"/>
                <w:u w:val="none"/>
              </w:rPr>
              <w:t>中国共产党纪律处分条例</w:t>
            </w:r>
            <w:r>
              <w:rPr>
                <w:rFonts w:hint="eastAsia" w:ascii="仿宋_GB2312" w:hAnsi="仿宋" w:cs="仿宋"/>
                <w:color w:val="3D3D3D"/>
                <w:kern w:val="0"/>
                <w:sz w:val="28"/>
                <w:szCs w:val="28"/>
                <w:lang w:bidi="ar"/>
              </w:rPr>
              <w:fldChar w:fldCharType="end"/>
            </w:r>
            <w:r>
              <w:rPr>
                <w:rFonts w:hint="eastAsia" w:ascii="仿宋_GB2312" w:hAnsi="仿宋" w:cs="仿宋"/>
                <w:color w:val="000000"/>
                <w:kern w:val="0"/>
                <w:sz w:val="28"/>
                <w:szCs w:val="28"/>
                <w:lang w:bidi="ar"/>
              </w:rPr>
              <w:t>》《</w:t>
            </w:r>
            <w:r>
              <w:rPr>
                <w:rFonts w:hint="eastAsia" w:ascii="仿宋_GB2312" w:hAnsi="仿宋" w:cs="仿宋"/>
                <w:color w:val="3D3D3D"/>
                <w:kern w:val="0"/>
                <w:sz w:val="28"/>
                <w:szCs w:val="28"/>
                <w:lang w:bidi="ar"/>
              </w:rPr>
              <w:fldChar w:fldCharType="begin"/>
            </w:r>
            <w:r>
              <w:rPr>
                <w:rFonts w:hint="eastAsia" w:ascii="仿宋_GB2312" w:hAnsi="仿宋" w:cs="仿宋"/>
                <w:color w:val="3D3D3D"/>
                <w:kern w:val="0"/>
                <w:sz w:val="28"/>
                <w:szCs w:val="28"/>
                <w:lang w:bidi="ar"/>
              </w:rPr>
              <w:instrText xml:space="preserve"> HYPERLINK "https://www.waizi.org.cn/doc/87129.html" \o "《中华人民共和国公职人员政务处分法》（全文）（2020年版）" \t "https://www.waizi.org.cn/law/_blank" </w:instrText>
            </w:r>
            <w:r>
              <w:rPr>
                <w:rFonts w:hint="eastAsia" w:ascii="仿宋_GB2312" w:hAnsi="仿宋" w:cs="仿宋"/>
                <w:color w:val="3D3D3D"/>
                <w:kern w:val="0"/>
                <w:sz w:val="28"/>
                <w:szCs w:val="28"/>
                <w:lang w:bidi="ar"/>
              </w:rPr>
              <w:fldChar w:fldCharType="separate"/>
            </w:r>
            <w:r>
              <w:rPr>
                <w:rStyle w:val="9"/>
                <w:rFonts w:hint="eastAsia" w:ascii="仿宋_GB2312" w:hAnsi="仿宋" w:cs="仿宋"/>
                <w:color w:val="3D3D3D"/>
                <w:sz w:val="28"/>
                <w:szCs w:val="28"/>
                <w:u w:val="none"/>
              </w:rPr>
              <w:t>公职人员政务处分法</w:t>
            </w:r>
            <w:r>
              <w:rPr>
                <w:rFonts w:hint="eastAsia" w:ascii="仿宋_GB2312" w:hAnsi="仿宋" w:cs="仿宋"/>
                <w:color w:val="3D3D3D"/>
                <w:kern w:val="0"/>
                <w:sz w:val="28"/>
                <w:szCs w:val="28"/>
                <w:lang w:bidi="ar"/>
              </w:rPr>
              <w:fldChar w:fldCharType="end"/>
            </w:r>
            <w:r>
              <w:rPr>
                <w:rFonts w:hint="eastAsia" w:ascii="仿宋_GB2312" w:hAnsi="仿宋" w:cs="仿宋"/>
                <w:color w:val="000000"/>
                <w:kern w:val="0"/>
                <w:sz w:val="28"/>
                <w:szCs w:val="28"/>
                <w:lang w:bidi="ar"/>
              </w:rPr>
              <w:t>》《执业医师法》等党内法规和法律法规制定处理办法等相关制度，细化行为内容，配套对应罚则。指导各地各级卫生健康部门和医疗卫生机构，制定贯彻落实“九不准”升级版的具体办法，确保政策层层细化、层层落地。</w:t>
            </w:r>
          </w:p>
        </w:tc>
        <w:tc>
          <w:tcPr>
            <w:tcW w:w="1152"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pacing w:line="500" w:lineRule="exact"/>
              <w:rPr>
                <w:rFonts w:hint="eastAsia" w:ascii="仿宋_GB2312" w:hAnsi="仿宋" w:cs="仿宋"/>
                <w:color w:val="000000"/>
                <w:sz w:val="28"/>
                <w:szCs w:val="28"/>
              </w:rPr>
            </w:pPr>
            <w:r>
              <w:rPr>
                <w:rFonts w:hint="eastAsia" w:ascii="仿宋_GB2312" w:hAnsi="仿宋" w:cs="仿宋"/>
                <w:color w:val="000000"/>
                <w:kern w:val="0"/>
                <w:sz w:val="28"/>
                <w:szCs w:val="28"/>
                <w:lang w:bidi="ar"/>
              </w:rPr>
              <w:t>国家卫生健康委牵头，机制成员单位共同推进</w:t>
            </w:r>
          </w:p>
        </w:tc>
        <w:tc>
          <w:tcPr>
            <w:tcW w:w="54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adjustRightInd w:val="0"/>
              <w:spacing w:line="500" w:lineRule="exact"/>
              <w:jc w:val="center"/>
              <w:rPr>
                <w:rFonts w:hint="eastAsia" w:ascii="仿宋_GB2312" w:hAnsi="仿宋" w:cs="仿宋"/>
                <w:color w:val="000000"/>
                <w:sz w:val="28"/>
                <w:szCs w:val="28"/>
              </w:rPr>
            </w:pPr>
            <w:r>
              <w:rPr>
                <w:rFonts w:hint="eastAsia" w:ascii="仿宋_GB2312" w:hAnsi="仿宋" w:cs="仿宋"/>
                <w:color w:val="000000"/>
                <w:kern w:val="0"/>
                <w:sz w:val="28"/>
                <w:szCs w:val="28"/>
                <w:lang w:bidi="ar"/>
              </w:rPr>
              <w:t>6月底</w:t>
            </w:r>
          </w:p>
        </w:tc>
      </w:tr>
    </w:tbl>
    <w:p/>
    <w:sectPr>
      <w:pgSz w:w="16838" w:h="11906" w:orient="landscape"/>
      <w:pgMar w:top="1587"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415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Calibri" w:hAnsi="Calibri" w:eastAsia="宋体"/>
      <w:kern w:val="0"/>
      <w:sz w:val="24"/>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2021-06-17T10:00:46Z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1977C7FCE4C341DAABC24C2F9EEBE6B2</vt:lpwstr>
  </property>
</Properties>
</file>