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15" w:line="230" w:lineRule="auto"/>
        <w:ind w:left="0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</w:rPr>
      </w:pPr>
      <w:r>
        <w:rPr>
          <w:rFonts w:ascii="黑体" w:hAnsi="黑体" w:eastAsia="黑体" w:cs="黑体"/>
          <w:snapToGrid w:val="0"/>
          <w:color w:val="000000"/>
          <w:spacing w:val="-15"/>
          <w:kern w:val="0"/>
          <w:sz w:val="31"/>
          <w:szCs w:val="31"/>
        </w:rPr>
        <w:t>附</w:t>
      </w:r>
      <w:r>
        <w:rPr>
          <w:rFonts w:ascii="黑体" w:hAnsi="黑体" w:eastAsia="黑体" w:cs="黑体"/>
          <w:snapToGrid w:val="0"/>
          <w:color w:val="000000"/>
          <w:spacing w:val="-14"/>
          <w:kern w:val="0"/>
          <w:sz w:val="31"/>
          <w:szCs w:val="31"/>
        </w:rPr>
        <w:t>件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40" w:line="223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18"/>
          <w:kern w:val="0"/>
          <w:sz w:val="40"/>
          <w:szCs w:val="40"/>
        </w:rPr>
        <w:t>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9"/>
          <w:kern w:val="0"/>
          <w:sz w:val="40"/>
          <w:szCs w:val="40"/>
        </w:rPr>
        <w:t>密型城市医疗集团建设评判标准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64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tbl>
      <w:tblPr>
        <w:tblStyle w:val="5"/>
        <w:tblW w:w="9360" w:type="dxa"/>
        <w:tblInd w:w="-1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704"/>
        <w:gridCol w:w="77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8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50" w:lineRule="auto"/>
              <w:ind w:left="162" w:right="140" w:hanging="3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2"/>
                <w:kern w:val="0"/>
                <w:sz w:val="23"/>
                <w:szCs w:val="23"/>
              </w:rPr>
              <w:t>评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3"/>
                <w:szCs w:val="23"/>
              </w:rPr>
              <w:t>判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1"/>
                <w:kern w:val="0"/>
                <w:sz w:val="23"/>
                <w:szCs w:val="23"/>
              </w:rPr>
              <w:t>维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3"/>
                <w:szCs w:val="23"/>
              </w:rPr>
              <w:t>度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231" w:lineRule="auto"/>
              <w:ind w:left="156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2"/>
                <w:kern w:val="0"/>
                <w:sz w:val="23"/>
                <w:szCs w:val="23"/>
              </w:rPr>
              <w:t>序号</w:t>
            </w:r>
          </w:p>
        </w:tc>
        <w:tc>
          <w:tcPr>
            <w:tcW w:w="777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231" w:lineRule="auto"/>
              <w:ind w:left="3301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评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6"/>
                <w:kern w:val="0"/>
                <w:sz w:val="23"/>
                <w:szCs w:val="23"/>
              </w:rPr>
              <w:t>判标准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88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85" w:lineRule="auto"/>
              <w:ind w:left="159" w:right="1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</w:rPr>
              <w:t>责权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</w:rPr>
              <w:t>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</w:rPr>
              <w:t>同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6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187" w:lineRule="auto"/>
              <w:ind w:left="3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777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234" w:lineRule="auto"/>
              <w:ind w:left="121" w:right="108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6"/>
                <w:kern w:val="0"/>
                <w:sz w:val="23"/>
                <w:szCs w:val="23"/>
              </w:rPr>
              <w:t>政府部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</w:rPr>
              <w:t>门负责明确网格化布局。以设区市为单位，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3"/>
                <w:szCs w:val="23"/>
              </w:rPr>
              <w:t>根据地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</w:rPr>
              <w:t>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</w:rPr>
              <w:t>关系、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 w:eastAsia="zh-CN"/>
              </w:rPr>
              <w:t>交通网络、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</w:rPr>
              <w:t>人口分布、疾病谱、医疗资源现状等因素，规划覆盖辖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</w:rPr>
              <w:t>区内所有常住人口的若干网格，网格内至少有1家地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</w:rPr>
              <w:t>市级或区级的三级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</w:rPr>
              <w:t>综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</w:rPr>
              <w:t>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</w:rPr>
              <w:t>医院，每个网格布局建设1个紧密型城市医疗集团。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88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186" w:lineRule="auto"/>
              <w:ind w:left="3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777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3" w:line="236" w:lineRule="auto"/>
              <w:ind w:left="117" w:right="86" w:firstLine="3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8"/>
                <w:kern w:val="0"/>
                <w:sz w:val="23"/>
                <w:szCs w:val="23"/>
              </w:rPr>
              <w:t>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4"/>
                <w:kern w:val="0"/>
                <w:sz w:val="23"/>
                <w:szCs w:val="23"/>
              </w:rPr>
              <w:t>府部门和紧密型城市医疗集团共同完善治理机制。建立由地方政府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3"/>
                <w:szCs w:val="23"/>
              </w:rPr>
              <w:t>有关部门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</w:rPr>
              <w:t>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</w:rPr>
              <w:t>紧密型城市医疗集团参与的管理委员会，负责统筹紧密型城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3"/>
                <w:szCs w:val="23"/>
              </w:rPr>
              <w:t>市医疗集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</w:rPr>
              <w:t>团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</w:rPr>
              <w:t>重大事项。紧密型城市医疗集团应当制定章程，明确内部议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6"/>
                <w:kern w:val="0"/>
                <w:sz w:val="23"/>
                <w:szCs w:val="23"/>
              </w:rPr>
              <w:t>事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6"/>
                <w:kern w:val="0"/>
                <w:sz w:val="23"/>
                <w:szCs w:val="23"/>
              </w:rPr>
              <w:t>决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3"/>
                <w:szCs w:val="23"/>
              </w:rPr>
              <w:t>策机制和管理规章制度，落实党对紧密型城市医疗集团的全面领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</w:rPr>
              <w:t>导。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88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186" w:lineRule="auto"/>
              <w:ind w:left="3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777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234" w:lineRule="auto"/>
              <w:ind w:left="124" w:right="25" w:firstLine="2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4"/>
                <w:kern w:val="0"/>
                <w:sz w:val="23"/>
                <w:szCs w:val="23"/>
              </w:rPr>
              <w:t>紧密型城市医疗集团落实责任共同体。紧密型城市医疗集团的牵头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</w:rPr>
              <w:t>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</w:rPr>
              <w:t>院、各成员单位和协作单位共同负责为网格内居民提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  <w:t>供疾病预防、诊断、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3"/>
                <w:szCs w:val="23"/>
              </w:rPr>
              <w:t>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</w:rPr>
              <w:t>疗、营养、康复、护理、健康管理等一体化、连续性医疗卫生服务。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88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341" w:lineRule="exact"/>
              <w:ind w:left="1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position w:val="7"/>
                <w:sz w:val="23"/>
                <w:szCs w:val="23"/>
              </w:rPr>
              <w:t>资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position w:val="7"/>
                <w:sz w:val="23"/>
                <w:szCs w:val="23"/>
              </w:rPr>
              <w:t>源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30" w:lineRule="auto"/>
              <w:ind w:left="12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</w:rPr>
              <w:t>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</w:rPr>
              <w:t>同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186" w:lineRule="auto"/>
              <w:ind w:left="3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777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234" w:lineRule="auto"/>
              <w:ind w:left="124" w:right="98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6"/>
                <w:kern w:val="0"/>
                <w:sz w:val="23"/>
                <w:szCs w:val="23"/>
              </w:rPr>
              <w:t>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9"/>
                <w:kern w:val="0"/>
                <w:sz w:val="23"/>
                <w:szCs w:val="23"/>
              </w:rPr>
              <w:t>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3"/>
                <w:szCs w:val="23"/>
              </w:rPr>
              <w:t>一体化管理。设置人力资源管理中心，统筹人员管理。集团内的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3"/>
                <w:szCs w:val="23"/>
              </w:rPr>
              <w:t>人员实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</w:rPr>
              <w:t>施统一招聘、统一考核、统筹使用，充分落实紧密型城市医疗集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3"/>
                <w:szCs w:val="23"/>
              </w:rPr>
              <w:t>团在内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</w:rPr>
              <w:t>设机构、岗位设置、职称聘任、选拔任用、内部绩效分配等方面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</w:rPr>
              <w:t>的自主权。明确机制保障集团内基层医疗卫生机构用人需要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8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184" w:lineRule="auto"/>
              <w:ind w:left="3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777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234" w:lineRule="auto"/>
              <w:ind w:left="122" w:right="42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6"/>
                <w:kern w:val="0"/>
                <w:sz w:val="23"/>
                <w:szCs w:val="23"/>
              </w:rPr>
              <w:t>财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8"/>
                <w:kern w:val="0"/>
                <w:sz w:val="23"/>
                <w:szCs w:val="23"/>
              </w:rPr>
              <w:t>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3"/>
                <w:szCs w:val="23"/>
              </w:rPr>
              <w:t>一体化管理。设置财务管理中心，统筹紧密型城市医疗集团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5"/>
                <w:kern w:val="0"/>
                <w:sz w:val="23"/>
                <w:szCs w:val="23"/>
              </w:rPr>
              <w:t>预算、成本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5"/>
                <w:kern w:val="0"/>
                <w:sz w:val="23"/>
                <w:szCs w:val="23"/>
                <w:lang w:eastAsia="zh-CN"/>
              </w:rPr>
              <w:t>等财务管理工作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  <w:t>。加强紧密型城市医疗集团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3"/>
                <w:szCs w:val="23"/>
                <w:lang w:eastAsia="zh-CN"/>
              </w:rPr>
              <w:t>价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5"/>
                <w:kern w:val="0"/>
                <w:sz w:val="23"/>
                <w:szCs w:val="23"/>
              </w:rPr>
              <w:t>格管理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5"/>
                <w:kern w:val="0"/>
                <w:sz w:val="23"/>
                <w:szCs w:val="23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  <w:t>内部审计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5"/>
                <w:kern w:val="0"/>
                <w:sz w:val="23"/>
                <w:szCs w:val="23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3"/>
                <w:szCs w:val="23"/>
              </w:rPr>
              <w:t>内部控制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3"/>
                <w:szCs w:val="23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88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186" w:lineRule="auto"/>
              <w:ind w:left="3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777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232" w:lineRule="auto"/>
              <w:ind w:left="119" w:right="96" w:firstLine="4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6"/>
                <w:kern w:val="0"/>
                <w:sz w:val="23"/>
                <w:szCs w:val="23"/>
              </w:rPr>
              <w:t>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2"/>
                <w:kern w:val="0"/>
                <w:sz w:val="23"/>
                <w:szCs w:val="23"/>
              </w:rPr>
              <w:t>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3"/>
                <w:szCs w:val="23"/>
              </w:rPr>
              <w:t>耗材设备一体化管理。统一药品、耗材、大型设备管理平台，实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3"/>
                <w:szCs w:val="23"/>
              </w:rPr>
              <w:t>现用药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</w:rPr>
              <w:t>目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</w:rPr>
              <w:t>录衔接、采购数据共享、一体化配送支付，逐步实现区域内药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</w:rPr>
              <w:t>品、耗材、设备等资源共享。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88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9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184" w:lineRule="auto"/>
              <w:ind w:left="3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777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" w:line="233" w:lineRule="auto"/>
              <w:ind w:left="120" w:right="101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6"/>
                <w:kern w:val="0"/>
                <w:sz w:val="23"/>
                <w:szCs w:val="23"/>
              </w:rPr>
              <w:t>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1"/>
                <w:kern w:val="0"/>
                <w:sz w:val="23"/>
                <w:szCs w:val="23"/>
              </w:rPr>
              <w:t>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3"/>
                <w:szCs w:val="23"/>
              </w:rPr>
              <w:t>互联互通。设置信息技术和管理部门，负责紧密型城市医疗集团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3"/>
                <w:szCs w:val="23"/>
              </w:rPr>
              <w:t>信息化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</w:rPr>
              <w:t>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</w:rPr>
              <w:t>体架构设计、信息化建设、网络安全等工作，推动紧密型城市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</w:rPr>
              <w:t>医疗集团内医疗卫生服务与管理系统的标准化建设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</w:rPr>
              <w:t>促进业务管理协同，健康诊疗信息交互共享，网络信息安全协同保障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88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186" w:lineRule="auto"/>
              <w:ind w:left="3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777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232" w:lineRule="auto"/>
              <w:ind w:left="120" w:right="98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6"/>
                <w:kern w:val="0"/>
                <w:sz w:val="23"/>
                <w:szCs w:val="23"/>
              </w:rPr>
              <w:t>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3"/>
                <w:kern w:val="0"/>
                <w:sz w:val="23"/>
                <w:szCs w:val="23"/>
              </w:rPr>
              <w:t>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3"/>
                <w:szCs w:val="23"/>
              </w:rPr>
              <w:t>医疗资源下沉。整合紧密型城市医疗集团医疗资源，建立优质医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3"/>
                <w:szCs w:val="23"/>
              </w:rPr>
              <w:t>疗资源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</w:rPr>
              <w:t>下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</w:rPr>
              <w:t>沉机制。规范基层预约转诊服务，加强预约转诊服务管理，经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</w:rPr>
              <w:t>基层转诊的签约居民可优先就诊、优先检查、优先住院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88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6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186" w:lineRule="auto"/>
              <w:ind w:left="3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777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42" w:lineRule="auto"/>
              <w:ind w:left="123" w:right="101" w:firstLine="17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</w:rPr>
              <w:t>医疗资源共享。统筹建设医学检验、医学影像、心电诊断、病理、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</w:rPr>
              <w:t>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3"/>
                <w:szCs w:val="23"/>
              </w:rPr>
              <w:t>毒供应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</w:rPr>
              <w:t>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</w:rPr>
              <w:t>资源共享中心，实现紧密型城市医疗集团内检查检验结果互认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</w:rPr>
              <w:t>共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  <w:t>享。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8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338" w:lineRule="exact"/>
              <w:ind w:left="1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position w:val="7"/>
                <w:sz w:val="23"/>
                <w:szCs w:val="23"/>
              </w:rPr>
              <w:t>业务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30" w:lineRule="auto"/>
              <w:ind w:left="12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</w:rPr>
              <w:t>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</w:rPr>
              <w:t>同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3"/>
                <w:szCs w:val="23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3"/>
                <w:szCs w:val="23"/>
              </w:rPr>
              <w:t>0</w:t>
            </w:r>
          </w:p>
        </w:tc>
        <w:tc>
          <w:tcPr>
            <w:tcW w:w="777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32" w:lineRule="auto"/>
              <w:ind w:left="121" w:right="31" w:firstLine="19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6"/>
                <w:kern w:val="0"/>
                <w:sz w:val="23"/>
                <w:szCs w:val="23"/>
              </w:rPr>
              <w:t>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3"/>
                <w:szCs w:val="23"/>
              </w:rPr>
              <w:t>疗服务一体化管理。紧密型城市医疗集团负责对牵头医院和各成员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</w:rPr>
              <w:t>单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</w:rPr>
              <w:t>位医疗服务、医疗质量安全、医院感染控制、病案质量、药品目录、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3"/>
                <w:szCs w:val="23"/>
              </w:rPr>
              <w:t>处方流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</w:rPr>
              <w:t>转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</w:rPr>
              <w:t>、双向转诊、疾病预防控制等一体化管理。充分发挥牵头医院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  <w:sectPr>
          <w:footerReference r:id="rId3" w:type="default"/>
          <w:pgSz w:w="11906" w:h="16839"/>
          <w:pgMar w:top="1814" w:right="1474" w:bottom="1701" w:left="1587" w:header="0" w:footer="992" w:gutter="0"/>
          <w:pgNumType w:fmt="decimal" w:start="1"/>
          <w:cols w:space="720" w:num="1"/>
          <w:rtlGutter w:val="0"/>
          <w:docGrid w:linePitch="0" w:charSpace="0"/>
        </w:sectPr>
      </w:pPr>
      <w:bookmarkStart w:id="0" w:name="_GoBack"/>
      <w:bookmarkEnd w:id="0"/>
    </w:p>
    <w:p>
      <w:pPr>
        <w:widowControl/>
        <w:kinsoku w:val="0"/>
        <w:autoSpaceDE w:val="0"/>
        <w:autoSpaceDN w:val="0"/>
        <w:adjustRightInd w:val="0"/>
        <w:snapToGrid w:val="0"/>
        <w:spacing w:line="91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"/>
          <w:szCs w:val="21"/>
        </w:rPr>
      </w:pPr>
    </w:p>
    <w:tbl>
      <w:tblPr>
        <w:tblStyle w:val="5"/>
        <w:tblW w:w="90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770"/>
        <w:gridCol w:w="75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6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4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8" w:lineRule="auto"/>
              <w:ind w:left="121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</w:rPr>
              <w:t>技术辐射带动作用，提升区域内医疗质量同质化水平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6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7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187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3"/>
                <w:szCs w:val="23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3"/>
                <w:szCs w:val="23"/>
              </w:rPr>
              <w:t>1</w:t>
            </w:r>
          </w:p>
        </w:tc>
        <w:tc>
          <w:tcPr>
            <w:tcW w:w="754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234" w:lineRule="auto"/>
              <w:ind w:left="120" w:firstLine="5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8"/>
                <w:kern w:val="0"/>
                <w:sz w:val="23"/>
                <w:szCs w:val="23"/>
              </w:rPr>
              <w:t>全科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3"/>
                <w:szCs w:val="23"/>
              </w:rPr>
              <w:t>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</w:rPr>
              <w:t>科有效联动。积极引导符合条件的二、三级医院医师下沉，与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</w:rPr>
              <w:t>基层全科医生组建家庭医生签约服务团队，以基层医疗卫生机构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</w:rPr>
              <w:t>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  <w:t>平台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</w:rPr>
              <w:t>开展签约服务，加强全科和专科医生的协作，为签约居民提供“一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  <w:t>站式”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</w:rPr>
              <w:t>全专结合服务。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6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8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187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3"/>
                <w:szCs w:val="23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3"/>
                <w:szCs w:val="23"/>
              </w:rPr>
              <w:t>2</w:t>
            </w:r>
          </w:p>
        </w:tc>
        <w:tc>
          <w:tcPr>
            <w:tcW w:w="754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234" w:lineRule="auto"/>
              <w:ind w:left="118" w:right="37" w:hanging="1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6"/>
                <w:kern w:val="0"/>
                <w:sz w:val="23"/>
                <w:szCs w:val="23"/>
              </w:rPr>
              <w:t>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3"/>
                <w:kern w:val="0"/>
                <w:sz w:val="23"/>
                <w:szCs w:val="23"/>
              </w:rPr>
              <w:t>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3"/>
                <w:szCs w:val="23"/>
              </w:rPr>
              <w:t>双向转诊。紧密型城市医疗集团内医疗机构根据自身功能定位严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3"/>
                <w:szCs w:val="23"/>
              </w:rPr>
              <w:t>格落实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</w:rPr>
              <w:t>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</w:rPr>
              <w:t>慢分治要求，健全紧密型城市医疗集团内外双向转诊标准，规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</w:rPr>
              <w:t>范双向转诊流程，畅通双向转诊通道，推动上下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  <w:t>分开，为患者提供科学、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</w:rPr>
              <w:t>适宜、连续的分级诊疗服务。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6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3"/>
                <w:szCs w:val="23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3"/>
                <w:szCs w:val="23"/>
              </w:rPr>
              <w:t>3</w:t>
            </w:r>
          </w:p>
        </w:tc>
        <w:tc>
          <w:tcPr>
            <w:tcW w:w="754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234" w:lineRule="auto"/>
              <w:ind w:left="120" w:right="30" w:firstLine="2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4"/>
                <w:kern w:val="0"/>
                <w:sz w:val="23"/>
                <w:szCs w:val="23"/>
              </w:rPr>
              <w:t>医防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3"/>
                <w:szCs w:val="23"/>
              </w:rPr>
              <w:t>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</w:rPr>
              <w:t>机协同。推进紧密型城市医疗集团与专业公共卫生机构在人员、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3"/>
                <w:szCs w:val="23"/>
              </w:rPr>
              <w:t>信息、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</w:rPr>
              <w:t>资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</w:rPr>
              <w:t>源、服务等方面的协同，建立防治结合的服务模式，落实公共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3"/>
                <w:szCs w:val="23"/>
              </w:rPr>
              <w:t>卫生职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</w:rPr>
              <w:t>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</w:rPr>
              <w:t>。提高重大传染病和突发公共卫生事件应急处置能力，参与构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6"/>
                <w:kern w:val="0"/>
                <w:sz w:val="23"/>
                <w:szCs w:val="23"/>
              </w:rPr>
              <w:t>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</w:rPr>
              <w:t>分级分层分流的重大疫情救治体系。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76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339" w:lineRule="exact"/>
              <w:ind w:left="1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position w:val="7"/>
                <w:sz w:val="23"/>
                <w:szCs w:val="23"/>
              </w:rPr>
              <w:t>机制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30" w:lineRule="auto"/>
              <w:ind w:left="12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</w:rPr>
              <w:t>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</w:rPr>
              <w:t>同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187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3"/>
                <w:szCs w:val="23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3"/>
                <w:szCs w:val="23"/>
              </w:rPr>
              <w:t>4</w:t>
            </w:r>
          </w:p>
        </w:tc>
        <w:tc>
          <w:tcPr>
            <w:tcW w:w="754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33" w:lineRule="auto"/>
              <w:ind w:left="133" w:right="107" w:hanging="2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2"/>
                <w:kern w:val="0"/>
                <w:sz w:val="23"/>
                <w:szCs w:val="23"/>
              </w:rPr>
              <w:t>落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3"/>
                <w:szCs w:val="23"/>
              </w:rPr>
              <w:t>实投入责任。落实政府投入责任，完善投入方式，适应紧密型城市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3"/>
                <w:szCs w:val="23"/>
              </w:rPr>
              <w:t>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</w:rPr>
              <w:t>疗集团建设发展需要。鼓励试点地区探索创新对紧密型城市医疗集团的财政补助方式。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76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6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3"/>
                <w:szCs w:val="23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3"/>
                <w:szCs w:val="23"/>
              </w:rPr>
              <w:t>5</w:t>
            </w:r>
          </w:p>
        </w:tc>
        <w:tc>
          <w:tcPr>
            <w:tcW w:w="754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" w:line="234" w:lineRule="auto"/>
              <w:ind w:left="123" w:right="114" w:firstLine="5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8"/>
                <w:kern w:val="0"/>
                <w:sz w:val="23"/>
                <w:szCs w:val="23"/>
              </w:rPr>
              <w:t>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3"/>
                <w:szCs w:val="23"/>
              </w:rPr>
              <w:t>酬制度改革。建立符合紧密型城市医疗集团发展要求的薪酬制度，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3"/>
                <w:szCs w:val="23"/>
              </w:rPr>
              <w:t>合理确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</w:rPr>
              <w:t>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</w:rPr>
              <w:t>内部薪酬水平，优化薪酬结构，创新分配机制，自主设立体现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6"/>
                <w:kern w:val="0"/>
                <w:sz w:val="23"/>
                <w:szCs w:val="23"/>
              </w:rPr>
              <w:t>分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5"/>
                <w:kern w:val="0"/>
                <w:sz w:val="23"/>
                <w:szCs w:val="23"/>
              </w:rPr>
              <w:t>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</w:rPr>
              <w:t>诊疗要求、劳动特点和技术水平的薪酬项目。</w:t>
            </w:r>
          </w:p>
        </w:tc>
      </w:tr>
    </w:tbl>
    <w:p/>
    <w:sectPr>
      <w:pgSz w:w="11906" w:h="16838"/>
      <w:pgMar w:top="181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18"/>
        <w:szCs w:val="21"/>
      </w:rPr>
    </w:pPr>
    <w:r>
      <w:rPr>
        <w:rFonts w:ascii="Arial" w:hAnsi="Arial" w:eastAsia="Arial" w:cs="Arial"/>
        <w:snapToGrid w:val="0"/>
        <w:color w:val="000000"/>
        <w:kern w:val="0"/>
        <w:sz w:val="18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4830445</wp:posOffset>
              </wp:positionH>
              <wp:positionV relativeFrom="paragraph">
                <wp:posOffset>-314325</wp:posOffset>
              </wp:positionV>
              <wp:extent cx="824230" cy="280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4230" cy="280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35pt;margin-top:-24.75pt;height:22.05pt;width:64.9pt;mso-position-horizontal-relative:margin;z-index:251659264;mso-width-relative:page;mso-height-relative:page;" filled="f" stroked="f" coordsize="21600,21600" o:gfxdata="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8ws8w1wAAAAoBAAAPAAAAAAAAAAEAIAAAACIAAABkcnMvZG93bnJldi54&#10;bWxQSwECFAAUAAAACACHTuJAATDFQ8IBAAB6AwAADgAAAAAAAAABACAAAAAmAQAAZHJzL2Uyb0Rv&#10;Yy54bWxQSwUGAAAAAAYABgBZAQAAWgUAAAAA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612903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ind w:firstLine="880" w:firstLineChars="200"/>
      <w:jc w:val="both"/>
    </w:pPr>
    <w:rPr>
      <w:rFonts w:ascii="仿宋_GB2312" w:hAnsi="仿宋_GB2312" w:eastAsia="仿宋_GB2312" w:cs="Times New Roman"/>
      <w:kern w:val="2"/>
      <w:sz w:val="36"/>
      <w:szCs w:val="24"/>
      <w:lang w:val="en-US" w:eastAsia="zh-CN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2023-10-07T08:41:20Z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AC6F3F74123744E48CE17B130032162C_12</vt:lpwstr>
  </property>
</Properties>
</file>