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附件2</w:t>
      </w:r>
    </w:p>
    <w:p>
      <w:pPr>
        <w:pStyle w:val="5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8"/>
        <w:keepNext/>
        <w:keepLines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zh-CN"/>
        </w:rPr>
        <w:t>医疗护理员培训补助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zh-CN"/>
        </w:rPr>
        <w:t>资金申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zh-CN"/>
        </w:rPr>
        <w:t>领流程</w:t>
      </w:r>
    </w:p>
    <w:p>
      <w:pPr>
        <w:pStyle w:val="9"/>
        <w:pageBreakBefore w:val="0"/>
        <w:tabs>
          <w:tab w:val="left" w:pos="141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pStyle w:val="9"/>
        <w:keepNext w:val="0"/>
        <w:keepLines w:val="0"/>
        <w:pageBreakBefore w:val="0"/>
        <w:widowControl w:val="0"/>
        <w:tabs>
          <w:tab w:val="left" w:pos="1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各培训中心承担全省医疗护理员规范化培训任务。要制定规范管理的工作方案和年度培训计划，并为培训人员提供课程表、考勤表，建立培训记录台账，长期妥善留存培训相关档案材料。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1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bookmark32"/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一</w:t>
      </w:r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val="en-US" w:eastAsia="zh-CN"/>
        </w:rPr>
        <w:t>发放职业技能电子培训券</w:t>
      </w:r>
    </w:p>
    <w:p>
      <w:pPr>
        <w:pStyle w:val="9"/>
        <w:keepNext w:val="0"/>
        <w:keepLines w:val="0"/>
        <w:pageBreakBefore w:val="0"/>
        <w:widowControl w:val="0"/>
        <w:tabs>
          <w:tab w:val="left" w:pos="1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各设区市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医疗护理员培训中心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按照属地原则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在福建省补贴性管理平台上报送培训方案，并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将拟参加培训的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医疗护理员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名单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导入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  <w:lang w:val="en-US" w:eastAsia="zh-CN"/>
        </w:rPr>
        <w:t>福建省补贴性管理平台，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  <w:lang w:val="en-US" w:eastAsia="zh-CN"/>
        </w:rPr>
        <w:t>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  <w:lang w:val="en-US" w:eastAsia="zh-CN"/>
        </w:rPr>
        <w:t>县市区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  <w:lang w:val="en-US" w:eastAsia="zh-CN"/>
        </w:rPr>
        <w:t>人社部门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  <w:lang w:val="en-US" w:eastAsia="zh-CN"/>
        </w:rPr>
        <w:t>公共就业服务机构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  <w:lang w:val="en-US" w:eastAsia="zh-CN"/>
        </w:rPr>
        <w:t>，向符合条件的人员发放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  <w:lang w:val="en-US" w:eastAsia="zh-CN"/>
        </w:rPr>
        <w:t>定向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  <w:lang w:val="en-US" w:eastAsia="zh-CN"/>
        </w:rPr>
        <w:t>券。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1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eastAsia="zh-CN"/>
        </w:rPr>
        <w:t>二、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做好培训过程管理</w:t>
      </w:r>
    </w:p>
    <w:p>
      <w:pPr>
        <w:pStyle w:val="9"/>
        <w:keepNext w:val="0"/>
        <w:keepLines w:val="0"/>
        <w:pageBreakBefore w:val="0"/>
        <w:widowControl w:val="0"/>
        <w:tabs>
          <w:tab w:val="left" w:pos="1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培训采用理论和实践相结合的方式，各培训中心要根据培训大纲做好课程安排，制定培训手册，加强培训过程管理和记录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做好对培训对象的考勤工作。培训对象应按要求填写好培训手册。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1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color w:val="00000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  <w:shd w:val="clear" w:color="auto" w:fill="FFFFFF"/>
          <w:lang w:eastAsia="zh-CN"/>
        </w:rPr>
        <w:t>三、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  <w:shd w:val="clear" w:color="auto" w:fill="FFFFFF"/>
        </w:rPr>
        <w:t>培训考核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u w:val="none"/>
          <w:shd w:val="clear" w:color="auto" w:fill="FFFFFF"/>
          <w:lang w:eastAsia="zh-CN"/>
        </w:rPr>
        <w:t>及证书发放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</w:rPr>
        <w:t>医疗护理员培训结束并考核合格后，由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</w:rPr>
        <w:t>培训中心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</w:rPr>
        <w:t>考核合格人员的基本信息、培训信息、考核结果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  <w:lang w:eastAsia="zh-CN"/>
        </w:rPr>
        <w:t>、培训总结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</w:rPr>
        <w:t>所在设区市卫健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  <w:lang w:eastAsia="zh-CN"/>
        </w:rPr>
        <w:t>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（平潭综合实验区社会事业局）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</w:rPr>
        <w:t>审核，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  <w:lang w:eastAsia="zh-CN"/>
        </w:rPr>
        <w:t>审核通过后，将名单发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bidi="ar"/>
        </w:rPr>
        <w:t>福建省医疗护理员培训中心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bidi="ar"/>
        </w:rPr>
        <w:t>由福建省医疗护理员培训中心以电子证照的形式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 w:bidi="ar"/>
        </w:rPr>
        <w:t>为培训考核合格的医疗护理员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bidi="ar"/>
        </w:rPr>
        <w:t>发放《福建省医疗护理员培训合格证书》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 w:bidi="ar"/>
        </w:rPr>
        <w:t>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1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材料的归档与抽查</w:t>
      </w:r>
    </w:p>
    <w:p>
      <w:pPr>
        <w:pStyle w:val="9"/>
        <w:keepNext w:val="0"/>
        <w:keepLines w:val="0"/>
        <w:pageBreakBefore w:val="0"/>
        <w:widowControl w:val="0"/>
        <w:tabs>
          <w:tab w:val="left" w:pos="1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留存培训材料。各培训中心将以下原始资料装订成册留存备查：</w:t>
      </w:r>
    </w:p>
    <w:p>
      <w:pPr>
        <w:pStyle w:val="9"/>
        <w:keepNext w:val="0"/>
        <w:keepLines w:val="0"/>
        <w:pageBreakBefore w:val="0"/>
        <w:widowControl w:val="0"/>
        <w:tabs>
          <w:tab w:val="left" w:pos="1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医疗护理员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培训合格人员名单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；</w:t>
      </w:r>
    </w:p>
    <w:p>
      <w:pPr>
        <w:pStyle w:val="9"/>
        <w:keepNext w:val="0"/>
        <w:keepLines w:val="0"/>
        <w:pageBreakBefore w:val="0"/>
        <w:widowControl w:val="0"/>
        <w:tabs>
          <w:tab w:val="left" w:pos="1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培训方案、课程表；</w:t>
      </w:r>
    </w:p>
    <w:p>
      <w:pPr>
        <w:pStyle w:val="9"/>
        <w:keepNext w:val="0"/>
        <w:keepLines w:val="0"/>
        <w:pageBreakBefore w:val="0"/>
        <w:widowControl w:val="0"/>
        <w:tabs>
          <w:tab w:val="left" w:pos="1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培训过程材料，如考勤记录、线下全程视频影像资料等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9"/>
        <w:keepNext w:val="0"/>
        <w:keepLines w:val="0"/>
        <w:pageBreakBefore w:val="0"/>
        <w:widowControl w:val="0"/>
        <w:tabs>
          <w:tab w:val="left" w:pos="1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抽查审核。省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/市护理质控中心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所在地医疗护理员培训中心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医疗护理员培训情况进行电话抽查审核。存在电话号码为空号、多个电话号码为同一人接听、被抽查者否认接受过培训或时长不足或被收取费用等情形的，视为无效申请。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1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  <w:shd w:val="clear" w:color="auto" w:fill="FFFFFF"/>
          <w:lang w:val="en-US" w:eastAsia="zh-CN"/>
        </w:rPr>
        <w:t>五、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u w:val="none"/>
          <w:shd w:val="clear" w:color="auto" w:fill="FFFFFF"/>
          <w:lang w:val="en-US" w:eastAsia="zh-CN"/>
        </w:rPr>
        <w:t>培训补贴兑付</w:t>
      </w:r>
    </w:p>
    <w:p>
      <w:pPr>
        <w:pStyle w:val="9"/>
        <w:keepNext w:val="0"/>
        <w:keepLines w:val="0"/>
        <w:pageBreakBefore w:val="0"/>
        <w:widowControl w:val="0"/>
        <w:tabs>
          <w:tab w:val="left" w:pos="1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</w:rPr>
        <w:t>各设区市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  <w:lang w:val="en-US" w:eastAsia="zh-CN"/>
        </w:rPr>
        <w:t>医疗护理员培训中心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</w:rPr>
        <w:t>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  <w:lang w:eastAsia="zh-CN"/>
        </w:rPr>
        <w:t>取得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bidi="ar"/>
        </w:rPr>
        <w:t>福建省医疗护理员培训合格证书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  <w:lang w:eastAsia="zh-CN"/>
        </w:rPr>
        <w:t>人员、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  <w:lang w:val="en-US" w:eastAsia="zh-CN"/>
        </w:rPr>
        <w:t>培训券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</w:rPr>
        <w:t>信息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  <w:lang w:val="en-US" w:eastAsia="zh-CN"/>
        </w:rPr>
        <w:t>结算培训单位（需按管理平台要求由属地人社确认开通）等内容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</w:rPr>
        <w:t>上传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  <w:lang w:eastAsia="zh-CN"/>
        </w:rPr>
        <w:t>福建省补贴性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</w:rPr>
        <w:t>管理平台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  <w:lang w:eastAsia="zh-CN"/>
        </w:rPr>
        <w:t>，通过管理平台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</w:rPr>
        <w:t>进行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  <w:lang w:eastAsia="zh-CN"/>
        </w:rPr>
        <w:t>培训补贴条件审核比对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  <w:lang w:val="en-US" w:eastAsia="zh-CN"/>
        </w:rPr>
        <w:t>符合，由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  <w:lang w:eastAsia="zh-CN"/>
        </w:rPr>
        <w:t>市卫健委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  <w:lang w:val="en-US" w:eastAsia="zh-CN"/>
        </w:rPr>
        <w:t>审核确认，书面申报材料（从管理平台打印并加盖部门公章）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  <w:lang w:eastAsia="zh-CN"/>
        </w:rPr>
        <w:t>提交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  <w:lang w:val="en-US" w:eastAsia="zh-CN"/>
        </w:rPr>
        <w:t>市级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  <w:lang w:eastAsia="zh-CN"/>
        </w:rPr>
        <w:t>人社部门公共就业服务机构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  <w:lang w:val="en-US" w:eastAsia="zh-CN"/>
        </w:rPr>
        <w:t>进行复核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  <w:lang w:val="en-US" w:eastAsia="zh-CN"/>
        </w:rPr>
        <w:t>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  <w:lang w:eastAsia="zh-CN"/>
        </w:rPr>
        <w:t>级人社部门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  <w:lang w:val="en-US" w:eastAsia="zh-CN"/>
        </w:rPr>
        <w:t>按批次将复核结果由管理平台自动同步至“福建省乡村振兴（扶贫惠民）资金平台”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  <w:lang w:eastAsia="zh-CN"/>
        </w:rPr>
        <w:t>按照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  <w:lang w:val="en-US" w:eastAsia="zh-CN"/>
        </w:rPr>
        <w:t>闽人社文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资金结算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eastAsia="zh-CN"/>
        </w:rPr>
        <w:t>流程，将补贴资金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拨付至各培训中心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预留管理平台收款账户。</w:t>
      </w:r>
    </w:p>
    <w:p>
      <w:bookmarkStart w:id="1" w:name="_GoBack"/>
      <w:bookmarkEnd w:id="1"/>
    </w:p>
    <w:p/>
    <w:sectPr>
      <w:footerReference r:id="rId3" w:type="default"/>
      <w:pgSz w:w="11906" w:h="16838"/>
      <w:pgMar w:top="1814" w:right="1474" w:bottom="1701" w:left="1587" w:header="851" w:footer="1417" w:gutter="0"/>
      <w:pgNumType w:fmt="decimal" w:start="7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3B31729A"/>
    <w:rsid w:val="3BD15A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alloon Text"/>
    <w:basedOn w:val="1"/>
    <w:next w:val="2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Heading #2|1"/>
    <w:basedOn w:val="1"/>
    <w:qFormat/>
    <w:uiPriority w:val="0"/>
    <w:pPr>
      <w:widowControl w:val="0"/>
      <w:shd w:val="clear" w:color="auto" w:fill="auto"/>
      <w:spacing w:after="560" w:line="688" w:lineRule="exact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2022-06-29T02:53:55Z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BD9007D2D6364AA2A6F3DC5DDA1CC848</vt:lpwstr>
  </property>
</Properties>
</file>