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23" w:lineRule="atLeast"/>
        <w:jc w:val="both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hint="eastAsia" w:ascii="黑体" w:hAnsi="黑体" w:eastAsia="黑体" w:cs="仿宋"/>
          <w:sz w:val="32"/>
          <w:szCs w:val="32"/>
        </w:rPr>
      </w:pPr>
    </w:p>
    <w:p>
      <w:pPr>
        <w:pStyle w:val="4"/>
        <w:widowControl/>
        <w:snapToGrid w:val="0"/>
        <w:spacing w:before="0" w:beforeAutospacing="0" w:after="0" w:afterAutospacing="0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2021年12类原国家基本公共卫生服务项目</w:t>
      </w:r>
    </w:p>
    <w:p>
      <w:pPr>
        <w:pStyle w:val="4"/>
        <w:widowControl/>
        <w:snapToGrid w:val="0"/>
        <w:spacing w:before="0" w:beforeAutospacing="0" w:after="0" w:afterAutospacing="0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主要目标任务</w:t>
      </w:r>
    </w:p>
    <w:p>
      <w:pPr>
        <w:pStyle w:val="4"/>
        <w:widowControl/>
        <w:spacing w:before="0" w:beforeAutospacing="0" w:after="0" w:afterAutospacing="0" w:line="23" w:lineRule="atLeas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居民规范化电子健康档案覆盖率≥60%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适龄儿童国家免疫规划疫苗接种率≥90%</w:t>
      </w:r>
    </w:p>
    <w:p>
      <w:pPr>
        <w:numPr>
          <w:ilvl w:val="0"/>
          <w:numId w:val="1"/>
        </w:numPr>
        <w:tabs>
          <w:tab w:val="clear" w:pos="312"/>
        </w:tabs>
        <w:ind w:left="419" w:hanging="419" w:hangingChars="1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0-6岁儿童健康管理率≥85%,0-6岁儿童眼保健和视力检查覆盖率≥90%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早孕建册率≥90%,产后访视率≥90%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65岁以上老年人健康管理率≥71%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高血压基层规范管理服务率≥75%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糖尿病基层规范管理服务率≥75%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社区在册居家严重精神障碍患者健康管理率≥80%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肺结核患者管理率≥90%</w:t>
      </w:r>
    </w:p>
    <w:p>
      <w:pPr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老年人中医药健康管理率≥65%,儿童中医药健康管理率≥65%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11.传染病和突发公共卫生事件报告率≥95%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1588" w:gutter="0"/>
      <w:pgNumType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right="271" w:rightChars="129" w:firstLine="154" w:firstLineChars="55"/>
      <w:jc w:val="right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8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ECCFF"/>
    <w:multiLevelType w:val="singleLevel"/>
    <w:tmpl w:val="EB9ECC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92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2021-08-18T07:15:26Z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03E929196403490F8BDA8B60E2FD4DF2</vt:lpwstr>
  </property>
</Properties>
</file>