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cs="宋体"/>
          <w:szCs w:val="32"/>
          <w:lang w:val="en-US" w:eastAsia="zh-CN"/>
        </w:rPr>
      </w:pPr>
      <w:r>
        <w:rPr>
          <w:rFonts w:ascii="CESI宋体-GB2312" w:hAnsi="CESI宋体-GB2312" w:eastAsia="黑体" w:cs="宋体"/>
          <w:sz w:val="28"/>
          <w:szCs w:val="28"/>
        </w:rPr>
        <w:t>附件</w:t>
      </w:r>
      <w:r>
        <w:rPr>
          <w:rFonts w:hint="eastAsia" w:ascii="CESI宋体-GB2312" w:hAnsi="CESI宋体-GB2312" w:eastAsia="黑体" w:cs="宋体"/>
          <w:sz w:val="28"/>
          <w:szCs w:val="28"/>
          <w:lang w:val="en-US" w:eastAsia="zh-CN"/>
        </w:rPr>
        <w:t>1</w:t>
      </w:r>
    </w:p>
    <w:p>
      <w:pPr>
        <w:spacing w:line="560" w:lineRule="exact"/>
        <w:jc w:val="center"/>
        <w:rPr>
          <w:rFonts w:hint="eastAsia" w:eastAsia="黑体" w:cs="宋体"/>
          <w:sz w:val="32"/>
          <w:szCs w:val="32"/>
        </w:rPr>
      </w:pPr>
      <w:r>
        <w:rPr>
          <w:rFonts w:hint="eastAsia" w:ascii="方正小标宋简体" w:hAnsi="方正小标宋简体" w:eastAsia="方正小标宋简体" w:cs="方正小标宋简体"/>
          <w:sz w:val="32"/>
          <w:szCs w:val="32"/>
        </w:rPr>
        <w:t>省级和计划单列市贯彻落实《若干要求》评价要点</w:t>
      </w:r>
      <w:r>
        <w:rPr>
          <w:rStyle w:val="12"/>
          <w:rFonts w:eastAsia="黑体" w:cs="宋体"/>
          <w:sz w:val="32"/>
          <w:szCs w:val="32"/>
        </w:rPr>
        <w:footnoteReference w:id="0"/>
      </w:r>
    </w:p>
    <w:p>
      <w:pPr>
        <w:spacing w:line="560" w:lineRule="exact"/>
        <w:jc w:val="center"/>
        <w:rPr>
          <w:rFonts w:eastAsia="黑体" w:cs="宋体"/>
          <w:sz w:val="28"/>
          <w:szCs w:val="28"/>
        </w:rPr>
      </w:pPr>
      <w:r>
        <w:rPr>
          <w:rFonts w:eastAsia="黑体" w:cs="宋体"/>
          <w:sz w:val="28"/>
          <w:szCs w:val="28"/>
        </w:rPr>
        <w:t>（基础分100分，附加分10分，总计110分）</w:t>
      </w:r>
    </w:p>
    <w:tbl>
      <w:tblPr>
        <w:tblStyle w:val="9"/>
        <w:tblW w:w="48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3400"/>
        <w:gridCol w:w="6140"/>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16" w:type="pct"/>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一级指标</w:t>
            </w:r>
          </w:p>
        </w:tc>
        <w:tc>
          <w:tcPr>
            <w:tcW w:w="1247" w:type="pct"/>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二级指标</w:t>
            </w:r>
          </w:p>
        </w:tc>
        <w:tc>
          <w:tcPr>
            <w:tcW w:w="2252" w:type="pct"/>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883" w:type="pct"/>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exact"/>
          <w:jc w:val="center"/>
        </w:trPr>
        <w:tc>
          <w:tcPr>
            <w:tcW w:w="616" w:type="pct"/>
            <w:vMerge w:val="restar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1.加强组织管理（30分）</w:t>
            </w:r>
          </w:p>
        </w:tc>
        <w:tc>
          <w:tcPr>
            <w:tcW w:w="1247"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1.1是否将推进基层卫生健康工作纳入省级重点工作（10分，附加分10分）</w:t>
            </w:r>
          </w:p>
        </w:tc>
        <w:tc>
          <w:tcPr>
            <w:tcW w:w="2252"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.努力争取</w:t>
            </w:r>
            <w:r>
              <w:rPr>
                <w:rFonts w:hint="eastAsia" w:ascii="宋体" w:hAnsi="宋体" w:eastAsia="宋体" w:cs="宋体"/>
                <w:sz w:val="21"/>
                <w:szCs w:val="21"/>
              </w:rPr>
              <w:t>将基层卫生健康工作纳入省级政府年度民生实事工程或年度政府工作报告或省级党委政府的其他重点工作或省级党委政府主要领导有批示，加10分。</w:t>
            </w:r>
          </w:p>
          <w:p>
            <w:pPr>
              <w:jc w:val="left"/>
              <w:rPr>
                <w:rFonts w:hint="eastAsia" w:ascii="宋体" w:hAnsi="宋体" w:eastAsia="宋体" w:cs="宋体"/>
                <w:sz w:val="21"/>
                <w:szCs w:val="21"/>
              </w:rPr>
            </w:pPr>
            <w:r>
              <w:rPr>
                <w:rFonts w:hint="eastAsia" w:ascii="宋体" w:hAnsi="宋体" w:eastAsia="宋体" w:cs="宋体"/>
                <w:sz w:val="21"/>
                <w:szCs w:val="21"/>
              </w:rPr>
              <w:t>2.纳入省级卫生健康行政部门年度“我为群众办实事”或其他重点工作清单，得7分。</w:t>
            </w:r>
          </w:p>
          <w:p>
            <w:pPr>
              <w:jc w:val="left"/>
              <w:rPr>
                <w:rFonts w:hint="eastAsia" w:ascii="宋体" w:hAnsi="宋体" w:eastAsia="宋体" w:cs="宋体"/>
                <w:sz w:val="21"/>
                <w:szCs w:val="21"/>
              </w:rPr>
            </w:pPr>
            <w:r>
              <w:rPr>
                <w:rFonts w:hint="eastAsia" w:ascii="宋体" w:hAnsi="宋体" w:eastAsia="宋体" w:cs="宋体"/>
                <w:sz w:val="21"/>
                <w:szCs w:val="21"/>
              </w:rPr>
              <w:t>3.制定落实《若干要求》的任务分工，得3分。</w:t>
            </w:r>
          </w:p>
        </w:tc>
        <w:tc>
          <w:tcPr>
            <w:tcW w:w="88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提供文件、政府工作报告、领导批示等证明材料。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616" w:type="pct"/>
            <w:vMerge w:val="continue"/>
            <w:noWrap w:val="0"/>
            <w:vAlign w:val="center"/>
          </w:tcPr>
          <w:p>
            <w:pPr>
              <w:jc w:val="left"/>
              <w:rPr>
                <w:rFonts w:hint="eastAsia" w:ascii="宋体" w:hAnsi="宋体" w:eastAsia="宋体" w:cs="宋体"/>
                <w:sz w:val="21"/>
                <w:szCs w:val="21"/>
              </w:rPr>
            </w:pPr>
          </w:p>
        </w:tc>
        <w:tc>
          <w:tcPr>
            <w:tcW w:w="1247"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1.2是否对基层卫生健康工作进行专题研究（10分）</w:t>
            </w:r>
          </w:p>
        </w:tc>
        <w:tc>
          <w:tcPr>
            <w:tcW w:w="2252" w:type="pct"/>
            <w:noWrap w:val="0"/>
            <w:vAlign w:val="center"/>
          </w:tcPr>
          <w:p>
            <w:pPr>
              <w:jc w:val="left"/>
              <w:rPr>
                <w:rFonts w:hint="eastAsia" w:ascii="宋体" w:hAnsi="宋体" w:eastAsia="宋体" w:cs="宋体"/>
                <w:sz w:val="21"/>
                <w:szCs w:val="21"/>
              </w:rPr>
            </w:pPr>
            <w:r>
              <w:rPr>
                <w:rFonts w:ascii="宋体" w:hAnsi="宋体" w:eastAsia="宋体" w:cs="宋体"/>
                <w:sz w:val="21"/>
                <w:szCs w:val="21"/>
              </w:rPr>
              <w:t>主动推动</w:t>
            </w:r>
            <w:r>
              <w:rPr>
                <w:rFonts w:hint="eastAsia" w:ascii="宋体" w:hAnsi="宋体" w:eastAsia="宋体" w:cs="宋体"/>
                <w:sz w:val="21"/>
                <w:szCs w:val="21"/>
              </w:rPr>
              <w:t>省级党委政府两年内研究1次及以上，得10分。</w:t>
            </w:r>
          </w:p>
          <w:p>
            <w:pPr>
              <w:jc w:val="left"/>
              <w:rPr>
                <w:rFonts w:hint="eastAsia" w:ascii="宋体" w:hAnsi="宋体" w:eastAsia="宋体" w:cs="宋体"/>
                <w:sz w:val="21"/>
                <w:szCs w:val="21"/>
              </w:rPr>
            </w:pPr>
            <w:r>
              <w:rPr>
                <w:rFonts w:hint="eastAsia" w:ascii="宋体" w:hAnsi="宋体" w:eastAsia="宋体" w:cs="宋体"/>
                <w:sz w:val="21"/>
                <w:szCs w:val="21"/>
              </w:rPr>
              <w:t>或</w:t>
            </w:r>
          </w:p>
          <w:p>
            <w:pPr>
              <w:numPr>
                <w:ilvl w:val="0"/>
                <w:numId w:val="1"/>
              </w:numPr>
              <w:jc w:val="left"/>
              <w:rPr>
                <w:rFonts w:hint="eastAsia" w:ascii="宋体" w:hAnsi="宋体" w:eastAsia="宋体" w:cs="宋体"/>
                <w:sz w:val="21"/>
                <w:szCs w:val="21"/>
              </w:rPr>
            </w:pPr>
            <w:r>
              <w:rPr>
                <w:rFonts w:hint="eastAsia" w:ascii="宋体" w:hAnsi="宋体" w:eastAsia="宋体" w:cs="宋体"/>
                <w:sz w:val="21"/>
                <w:szCs w:val="21"/>
              </w:rPr>
              <w:t>省级卫生健康行政部门党委（组）会议或主任办公会议专题研究1次及以上，得</w:t>
            </w:r>
            <w:r>
              <w:rPr>
                <w:rFonts w:ascii="宋体" w:hAnsi="宋体" w:eastAsia="宋体" w:cs="宋体"/>
                <w:sz w:val="21"/>
                <w:szCs w:val="21"/>
              </w:rPr>
              <w:t>5</w:t>
            </w:r>
            <w:r>
              <w:rPr>
                <w:rFonts w:hint="eastAsia" w:ascii="宋体" w:hAnsi="宋体" w:eastAsia="宋体" w:cs="宋体"/>
                <w:sz w:val="21"/>
                <w:szCs w:val="21"/>
              </w:rPr>
              <w:t>分。</w:t>
            </w:r>
          </w:p>
          <w:p>
            <w:pPr>
              <w:numPr>
                <w:ilvl w:val="0"/>
                <w:numId w:val="1"/>
              </w:numPr>
              <w:jc w:val="left"/>
              <w:rPr>
                <w:rFonts w:hint="eastAsia" w:ascii="宋体" w:hAnsi="宋体" w:eastAsia="宋体" w:cs="宋体"/>
                <w:sz w:val="21"/>
                <w:szCs w:val="21"/>
              </w:rPr>
            </w:pPr>
            <w:r>
              <w:rPr>
                <w:rFonts w:hint="eastAsia" w:ascii="宋体" w:hAnsi="宋体" w:eastAsia="宋体" w:cs="宋体"/>
                <w:sz w:val="21"/>
                <w:szCs w:val="21"/>
              </w:rPr>
              <w:t>省级卫生健康行政部门领导班子成员召开专题会议1次及以上，得</w:t>
            </w:r>
            <w:r>
              <w:rPr>
                <w:rFonts w:ascii="宋体" w:hAnsi="宋体" w:eastAsia="宋体" w:cs="宋体"/>
                <w:sz w:val="21"/>
                <w:szCs w:val="21"/>
              </w:rPr>
              <w:t>3</w:t>
            </w:r>
            <w:r>
              <w:rPr>
                <w:rFonts w:hint="eastAsia" w:ascii="宋体" w:hAnsi="宋体" w:eastAsia="宋体" w:cs="宋体"/>
                <w:sz w:val="21"/>
                <w:szCs w:val="21"/>
              </w:rPr>
              <w:t>分。</w:t>
            </w:r>
          </w:p>
        </w:tc>
        <w:tc>
          <w:tcPr>
            <w:tcW w:w="88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提供会议通知、会议纪要、会议材料等证明材料。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exact"/>
          <w:jc w:val="center"/>
        </w:trPr>
        <w:tc>
          <w:tcPr>
            <w:tcW w:w="616" w:type="pct"/>
            <w:vMerge w:val="continue"/>
            <w:noWrap w:val="0"/>
            <w:vAlign w:val="center"/>
          </w:tcPr>
          <w:p>
            <w:pPr>
              <w:jc w:val="left"/>
              <w:rPr>
                <w:rFonts w:hint="eastAsia" w:ascii="宋体" w:hAnsi="宋体" w:eastAsia="宋体" w:cs="宋体"/>
                <w:sz w:val="21"/>
                <w:szCs w:val="21"/>
              </w:rPr>
            </w:pPr>
          </w:p>
        </w:tc>
        <w:tc>
          <w:tcPr>
            <w:tcW w:w="1247"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1.3是否在基层卫生健康重难点</w:t>
            </w:r>
            <w:r>
              <w:rPr>
                <w:rStyle w:val="12"/>
                <w:rFonts w:hint="eastAsia" w:ascii="宋体" w:hAnsi="宋体" w:eastAsia="宋体" w:cs="宋体"/>
                <w:sz w:val="21"/>
                <w:szCs w:val="21"/>
              </w:rPr>
              <w:footnoteReference w:id="1"/>
            </w:r>
            <w:r>
              <w:rPr>
                <w:rFonts w:hint="eastAsia" w:ascii="宋体" w:hAnsi="宋体" w:eastAsia="宋体" w:cs="宋体"/>
                <w:sz w:val="21"/>
                <w:szCs w:val="21"/>
              </w:rPr>
              <w:t>方面取得明显进展（10分）</w:t>
            </w:r>
          </w:p>
        </w:tc>
        <w:tc>
          <w:tcPr>
            <w:tcW w:w="2252"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每在一个重难点方面取得明显进展，得4分，最多得10分。</w:t>
            </w:r>
          </w:p>
        </w:tc>
        <w:tc>
          <w:tcPr>
            <w:tcW w:w="88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提供文件、获奖证书、领导批示、媒体宣传等相关证明材料。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exact"/>
          <w:jc w:val="center"/>
        </w:trPr>
        <w:tc>
          <w:tcPr>
            <w:tcW w:w="616" w:type="pct"/>
            <w:vMerge w:val="restar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2.调整卫生支出结构（26分）</w:t>
            </w:r>
          </w:p>
        </w:tc>
        <w:tc>
          <w:tcPr>
            <w:tcW w:w="1247"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2.1基层财政补助占政府卫生支出</w:t>
            </w:r>
            <w:r>
              <w:rPr>
                <w:rFonts w:hint="eastAsia" w:ascii="宋体" w:hAnsi="宋体" w:eastAsia="宋体" w:cs="宋体"/>
                <w:sz w:val="21"/>
                <w:szCs w:val="21"/>
              </w:rPr>
              <w:t>比例及与上年相比变化幅度</w:t>
            </w:r>
            <w:r>
              <w:rPr>
                <w:rStyle w:val="12"/>
                <w:rFonts w:hint="eastAsia" w:ascii="宋体" w:hAnsi="宋体" w:eastAsia="宋体" w:cs="宋体"/>
                <w:sz w:val="21"/>
                <w:szCs w:val="21"/>
              </w:rPr>
              <w:footnoteReference w:id="2"/>
            </w:r>
            <w:r>
              <w:rPr>
                <w:rFonts w:hint="eastAsia" w:ascii="宋体" w:hAnsi="宋体" w:eastAsia="宋体" w:cs="宋体"/>
                <w:sz w:val="21"/>
                <w:szCs w:val="21"/>
              </w:rPr>
              <w:t>（14分）</w:t>
            </w:r>
          </w:p>
        </w:tc>
        <w:tc>
          <w:tcPr>
            <w:tcW w:w="2252"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1.依据比例分东中西地区进行同级排名</w:t>
            </w:r>
            <w:r>
              <w:rPr>
                <w:rStyle w:val="12"/>
                <w:rFonts w:hint="eastAsia" w:ascii="宋体" w:hAnsi="宋体" w:eastAsia="宋体" w:cs="宋体"/>
                <w:sz w:val="21"/>
                <w:szCs w:val="21"/>
                <w:lang w:bidi="ar"/>
              </w:rPr>
              <w:footnoteReference w:id="3"/>
            </w:r>
            <w:r>
              <w:rPr>
                <w:rFonts w:hint="eastAsia" w:ascii="宋体" w:hAnsi="宋体" w:eastAsia="宋体" w:cs="宋体"/>
                <w:sz w:val="21"/>
                <w:szCs w:val="21"/>
              </w:rPr>
              <w:t>，前1/3，得7分；中间1/3，得4分；后1/3，得2分。比例=0时，不得分。</w:t>
            </w:r>
          </w:p>
          <w:p>
            <w:pPr>
              <w:jc w:val="left"/>
              <w:rPr>
                <w:rFonts w:hint="eastAsia" w:ascii="宋体" w:hAnsi="宋体" w:eastAsia="宋体" w:cs="宋体"/>
                <w:sz w:val="21"/>
                <w:szCs w:val="21"/>
              </w:rPr>
            </w:pPr>
            <w:r>
              <w:rPr>
                <w:rFonts w:hint="eastAsia" w:ascii="宋体" w:hAnsi="宋体" w:eastAsia="宋体" w:cs="宋体"/>
                <w:sz w:val="21"/>
                <w:szCs w:val="21"/>
                <w:lang w:bidi="ar"/>
              </w:rPr>
              <w:t>2.依据增幅分东中西地区进行同级排名，前1/3，得7分；中间1/3，得4分；后1/3，得2分。增幅≤0时，不得分。</w:t>
            </w:r>
          </w:p>
          <w:p>
            <w:pPr>
              <w:jc w:val="left"/>
              <w:rPr>
                <w:rFonts w:hint="eastAsia" w:ascii="宋体" w:hAnsi="宋体" w:eastAsia="宋体" w:cs="宋体"/>
                <w:sz w:val="21"/>
                <w:szCs w:val="21"/>
              </w:rPr>
            </w:pPr>
            <w:r>
              <w:rPr>
                <w:rFonts w:hint="eastAsia" w:ascii="宋体" w:hAnsi="宋体" w:eastAsia="宋体" w:cs="宋体"/>
                <w:sz w:val="21"/>
                <w:szCs w:val="21"/>
                <w:lang w:bidi="ar"/>
              </w:rPr>
              <w:t>3.比例与增幅两项得分之和为合计得分。</w:t>
            </w:r>
          </w:p>
        </w:tc>
        <w:tc>
          <w:tcPr>
            <w:tcW w:w="88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数据来源：基层卫生健康发展综合评价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exact"/>
          <w:jc w:val="center"/>
        </w:trPr>
        <w:tc>
          <w:tcPr>
            <w:tcW w:w="616" w:type="pct"/>
            <w:vMerge w:val="continue"/>
            <w:noWrap w:val="0"/>
            <w:vAlign w:val="center"/>
          </w:tcPr>
          <w:p>
            <w:pPr>
              <w:rPr>
                <w:rFonts w:hint="eastAsia" w:ascii="宋体" w:hAnsi="宋体" w:eastAsia="宋体" w:cs="宋体"/>
                <w:sz w:val="21"/>
                <w:szCs w:val="21"/>
              </w:rPr>
            </w:pPr>
          </w:p>
        </w:tc>
        <w:tc>
          <w:tcPr>
            <w:tcW w:w="1247"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2.2达到服务能力标准</w:t>
            </w:r>
            <w:r>
              <w:rPr>
                <w:rStyle w:val="12"/>
                <w:rFonts w:hint="eastAsia" w:ascii="宋体" w:hAnsi="宋体" w:eastAsia="宋体" w:cs="宋体"/>
                <w:sz w:val="21"/>
                <w:szCs w:val="21"/>
                <w:lang w:bidi="ar"/>
              </w:rPr>
              <w:footnoteReference w:id="4"/>
            </w:r>
            <w:r>
              <w:rPr>
                <w:rFonts w:hint="eastAsia" w:ascii="宋体" w:hAnsi="宋体" w:eastAsia="宋体" w:cs="宋体"/>
                <w:sz w:val="21"/>
                <w:szCs w:val="21"/>
              </w:rPr>
              <w:t>的乡镇卫生院、社区卫生服务中心的比例（12分）</w:t>
            </w:r>
          </w:p>
        </w:tc>
        <w:tc>
          <w:tcPr>
            <w:tcW w:w="2252"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根据“优质服务基层行”活动年度目标任务进行评分。完成目标，得满分。未完成目标，按完成进度进行赋分：（达到服务能力标准的乡镇卫生院、社区卫生服务中心的比例/目标比例）*12分。</w:t>
            </w:r>
          </w:p>
        </w:tc>
        <w:tc>
          <w:tcPr>
            <w:tcW w:w="88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数据来源：基层卫生健康发展综合评价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exact"/>
          <w:jc w:val="center"/>
        </w:trPr>
        <w:tc>
          <w:tcPr>
            <w:tcW w:w="616" w:type="pct"/>
            <w:vMerge w:val="restar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3.稳定基层卫生队伍,调动工作积极性（20分）</w:t>
            </w:r>
          </w:p>
        </w:tc>
        <w:tc>
          <w:tcPr>
            <w:tcW w:w="1247"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3.1乡镇卫生院和社区卫生服务中心在职职工人均工资性收入</w:t>
            </w:r>
            <w:r>
              <w:rPr>
                <w:rStyle w:val="12"/>
                <w:rFonts w:hint="eastAsia" w:ascii="宋体" w:hAnsi="宋体" w:eastAsia="宋体" w:cs="宋体"/>
                <w:sz w:val="21"/>
                <w:szCs w:val="21"/>
                <w:lang w:bidi="ar"/>
              </w:rPr>
              <w:footnoteReference w:id="5"/>
            </w:r>
            <w:r>
              <w:rPr>
                <w:rFonts w:hint="eastAsia" w:ascii="宋体" w:hAnsi="宋体" w:eastAsia="宋体" w:cs="宋体"/>
                <w:sz w:val="21"/>
                <w:szCs w:val="21"/>
              </w:rPr>
              <w:t>占县（区）级公立医院</w:t>
            </w:r>
            <w:r>
              <w:rPr>
                <w:rStyle w:val="12"/>
                <w:rFonts w:hint="eastAsia" w:ascii="宋体" w:hAnsi="宋体" w:eastAsia="宋体" w:cs="宋体"/>
                <w:sz w:val="21"/>
                <w:szCs w:val="21"/>
              </w:rPr>
              <w:footnoteReference w:id="6"/>
            </w:r>
            <w:r>
              <w:rPr>
                <w:rFonts w:hint="eastAsia" w:ascii="宋体" w:hAnsi="宋体" w:eastAsia="宋体" w:cs="宋体"/>
                <w:sz w:val="21"/>
                <w:szCs w:val="21"/>
              </w:rPr>
              <w:t>在职职工人均工资性收入的比例及与上年相比变化幅度（12分）</w:t>
            </w:r>
          </w:p>
        </w:tc>
        <w:tc>
          <w:tcPr>
            <w:tcW w:w="2252"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1.比例≥100%，得12分。</w:t>
            </w:r>
          </w:p>
          <w:p>
            <w:pPr>
              <w:jc w:val="left"/>
              <w:rPr>
                <w:rFonts w:hint="eastAsia" w:ascii="宋体" w:hAnsi="宋体" w:eastAsia="宋体" w:cs="宋体"/>
                <w:sz w:val="21"/>
                <w:szCs w:val="21"/>
              </w:rPr>
            </w:pPr>
            <w:r>
              <w:rPr>
                <w:rFonts w:hint="eastAsia" w:ascii="宋体" w:hAnsi="宋体" w:eastAsia="宋体" w:cs="宋体"/>
                <w:sz w:val="21"/>
                <w:szCs w:val="21"/>
                <w:lang w:bidi="ar"/>
              </w:rPr>
              <w:t>2.比例＜100%，增幅＜0，不得分。</w:t>
            </w:r>
          </w:p>
          <w:p>
            <w:pPr>
              <w:jc w:val="left"/>
              <w:rPr>
                <w:rFonts w:hint="eastAsia" w:ascii="宋体" w:hAnsi="宋体" w:eastAsia="宋体" w:cs="宋体"/>
                <w:sz w:val="21"/>
                <w:szCs w:val="21"/>
              </w:rPr>
            </w:pPr>
            <w:r>
              <w:rPr>
                <w:rFonts w:hint="eastAsia" w:ascii="宋体" w:hAnsi="宋体" w:eastAsia="宋体" w:cs="宋体"/>
                <w:sz w:val="21"/>
                <w:szCs w:val="21"/>
                <w:lang w:bidi="ar"/>
              </w:rPr>
              <w:t>3.比例＜100%，增幅≥0，依据比例和增幅分别进行同级排名，前1/3，得6分；中间1/3，得4分；后1/3，得2分；比例与增幅两项得分之和为合计得分。</w:t>
            </w:r>
          </w:p>
        </w:tc>
        <w:tc>
          <w:tcPr>
            <w:tcW w:w="88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数据来源：基层卫生健康发展综合评价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jc w:val="center"/>
        </w:trPr>
        <w:tc>
          <w:tcPr>
            <w:tcW w:w="616" w:type="pct"/>
            <w:vMerge w:val="continue"/>
            <w:noWrap w:val="0"/>
            <w:vAlign w:val="center"/>
          </w:tcPr>
          <w:p>
            <w:pPr>
              <w:jc w:val="left"/>
              <w:rPr>
                <w:rFonts w:hint="eastAsia" w:ascii="宋体" w:hAnsi="宋体" w:eastAsia="宋体" w:cs="宋体"/>
                <w:sz w:val="21"/>
                <w:szCs w:val="21"/>
              </w:rPr>
            </w:pPr>
          </w:p>
        </w:tc>
        <w:tc>
          <w:tcPr>
            <w:tcW w:w="1247" w:type="pct"/>
            <w:noWrap w:val="0"/>
            <w:vAlign w:val="center"/>
          </w:tcPr>
          <w:p>
            <w:pPr>
              <w:jc w:val="left"/>
              <w:rPr>
                <w:rFonts w:hint="eastAsia" w:ascii="宋体" w:hAnsi="宋体" w:eastAsia="宋体" w:cs="宋体"/>
                <w:sz w:val="21"/>
                <w:szCs w:val="21"/>
                <w:lang w:bidi="ar"/>
              </w:rPr>
            </w:pPr>
            <w:r>
              <w:rPr>
                <w:rFonts w:hint="eastAsia" w:ascii="宋体" w:hAnsi="宋体" w:eastAsia="宋体" w:cs="宋体"/>
                <w:sz w:val="21"/>
                <w:szCs w:val="21"/>
                <w:lang w:bidi="ar"/>
              </w:rPr>
              <w:t>3.2 是否在评先推优工作中向基层倾斜（8分）</w:t>
            </w:r>
          </w:p>
        </w:tc>
        <w:tc>
          <w:tcPr>
            <w:tcW w:w="2252" w:type="pct"/>
            <w:noWrap w:val="0"/>
            <w:vAlign w:val="center"/>
          </w:tcPr>
          <w:p>
            <w:pPr>
              <w:jc w:val="left"/>
              <w:rPr>
                <w:rFonts w:hint="eastAsia" w:ascii="宋体" w:hAnsi="宋体" w:eastAsia="宋体" w:cs="宋体"/>
                <w:sz w:val="21"/>
                <w:szCs w:val="21"/>
                <w:lang w:bidi="ar"/>
              </w:rPr>
            </w:pPr>
            <w:r>
              <w:rPr>
                <w:rFonts w:hint="eastAsia" w:ascii="宋体" w:hAnsi="宋体" w:eastAsia="宋体" w:cs="宋体"/>
                <w:sz w:val="21"/>
                <w:szCs w:val="21"/>
                <w:lang w:bidi="ar"/>
              </w:rPr>
              <w:t>在某项评先推优工作中，与上一次评先推优相比，本次基层机构和人员所占比例有所增加或保持较好代表性，或专门针对基层机构和人员开展评先推优活动。</w:t>
            </w:r>
          </w:p>
        </w:tc>
        <w:tc>
          <w:tcPr>
            <w:tcW w:w="883" w:type="pct"/>
            <w:noWrap w:val="0"/>
            <w:vAlign w:val="center"/>
          </w:tcPr>
          <w:p>
            <w:pPr>
              <w:jc w:val="left"/>
              <w:rPr>
                <w:rFonts w:hint="eastAsia" w:ascii="宋体" w:hAnsi="宋体" w:eastAsia="宋体" w:cs="宋体"/>
                <w:sz w:val="21"/>
                <w:szCs w:val="21"/>
                <w:lang w:bidi="ar"/>
              </w:rPr>
            </w:pPr>
            <w:r>
              <w:rPr>
                <w:rFonts w:hint="eastAsia" w:ascii="宋体" w:hAnsi="宋体" w:eastAsia="宋体" w:cs="宋体"/>
                <w:sz w:val="21"/>
                <w:szCs w:val="21"/>
                <w:lang w:bidi="ar"/>
              </w:rPr>
              <w:t>提供文件等证明材料。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exact"/>
          <w:jc w:val="center"/>
        </w:trPr>
        <w:tc>
          <w:tcPr>
            <w:tcW w:w="616"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4.提升基层服务效果（14分）</w:t>
            </w:r>
          </w:p>
        </w:tc>
        <w:tc>
          <w:tcPr>
            <w:tcW w:w="1247"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4.1基层诊疗人次占全省（区、市）总诊疗人次的比例及与上年相比变化幅度（14分）</w:t>
            </w:r>
          </w:p>
        </w:tc>
        <w:tc>
          <w:tcPr>
            <w:tcW w:w="2252"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1.比例≥65%，得14分。</w:t>
            </w:r>
          </w:p>
          <w:p>
            <w:pPr>
              <w:jc w:val="left"/>
              <w:rPr>
                <w:rFonts w:hint="eastAsia" w:ascii="宋体" w:hAnsi="宋体" w:eastAsia="宋体" w:cs="宋体"/>
                <w:sz w:val="21"/>
                <w:szCs w:val="21"/>
              </w:rPr>
            </w:pPr>
            <w:r>
              <w:rPr>
                <w:rFonts w:hint="eastAsia" w:ascii="宋体" w:hAnsi="宋体" w:eastAsia="宋体" w:cs="宋体"/>
                <w:sz w:val="21"/>
                <w:szCs w:val="21"/>
                <w:lang w:bidi="ar"/>
              </w:rPr>
              <w:t>2.比例＜65%，增幅＜0，不得分。</w:t>
            </w:r>
          </w:p>
          <w:p>
            <w:pPr>
              <w:jc w:val="left"/>
              <w:rPr>
                <w:rFonts w:hint="eastAsia" w:ascii="宋体" w:hAnsi="宋体" w:eastAsia="宋体" w:cs="宋体"/>
                <w:sz w:val="21"/>
                <w:szCs w:val="21"/>
              </w:rPr>
            </w:pPr>
            <w:r>
              <w:rPr>
                <w:rFonts w:hint="eastAsia" w:ascii="宋体" w:hAnsi="宋体" w:eastAsia="宋体" w:cs="宋体"/>
                <w:sz w:val="21"/>
                <w:szCs w:val="21"/>
                <w:lang w:bidi="ar"/>
              </w:rPr>
              <w:t>3.比例＜65%，增幅≥0，依据比例和增幅分别进行同级排名，前1/3，得7分；中间1/3，得4分；后1/3，得2分；比例与增幅两项得分之和为合计得分。</w:t>
            </w:r>
          </w:p>
        </w:tc>
        <w:tc>
          <w:tcPr>
            <w:tcW w:w="88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数据来源：基层卫生健康发展综合评价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616"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5.加强监测评估（10分）</w:t>
            </w:r>
          </w:p>
        </w:tc>
        <w:tc>
          <w:tcPr>
            <w:tcW w:w="1247"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5.1是否对下一级基层卫生健康发展情况开展年度综合评价</w:t>
            </w:r>
            <w:r>
              <w:rPr>
                <w:rStyle w:val="12"/>
                <w:rFonts w:hint="eastAsia" w:ascii="宋体" w:hAnsi="宋体" w:eastAsia="宋体" w:cs="宋体"/>
                <w:sz w:val="21"/>
                <w:szCs w:val="21"/>
              </w:rPr>
              <w:footnoteReference w:id="7"/>
            </w:r>
            <w:r>
              <w:rPr>
                <w:rFonts w:hint="eastAsia" w:ascii="宋体" w:hAnsi="宋体" w:eastAsia="宋体" w:cs="宋体"/>
                <w:sz w:val="21"/>
                <w:szCs w:val="21"/>
              </w:rPr>
              <w:t>（10分）</w:t>
            </w:r>
          </w:p>
        </w:tc>
        <w:tc>
          <w:tcPr>
            <w:tcW w:w="2252"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1.是，得5分；</w:t>
            </w:r>
          </w:p>
          <w:p>
            <w:pPr>
              <w:jc w:val="left"/>
              <w:rPr>
                <w:rFonts w:hint="eastAsia" w:ascii="宋体" w:hAnsi="宋体" w:eastAsia="宋体" w:cs="宋体"/>
                <w:sz w:val="21"/>
                <w:szCs w:val="21"/>
              </w:rPr>
            </w:pPr>
            <w:r>
              <w:rPr>
                <w:rFonts w:hint="eastAsia" w:ascii="宋体" w:hAnsi="宋体" w:eastAsia="宋体" w:cs="宋体"/>
                <w:sz w:val="21"/>
                <w:szCs w:val="21"/>
              </w:rPr>
              <w:t>2.对评价结果进行通报，得5分。</w:t>
            </w:r>
          </w:p>
        </w:tc>
        <w:tc>
          <w:tcPr>
            <w:tcW w:w="883" w:type="pct"/>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提供报告等证明材料。</w:t>
            </w:r>
          </w:p>
        </w:tc>
      </w:tr>
    </w:tbl>
    <w:p>
      <w:pPr>
        <w:tabs>
          <w:tab w:val="left" w:pos="244"/>
        </w:tabs>
        <w:jc w:val="left"/>
        <w:rPr>
          <w:rFonts w:hint="eastAsia" w:hAnsi="宋体"/>
          <w:bCs/>
          <w:sz w:val="32"/>
          <w:szCs w:val="32"/>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3" w:right="1440" w:bottom="1803" w:left="1440" w:header="850" w:footer="992" w:gutter="0"/>
      <w:paperSrc/>
      <w:pgNumType w:fmt="decimal" w:start="5"/>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bpo7nHAQAAewMAAA4AAAAAAAAA&#10;AQAgAAAANA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footnote>
  <w:footnote w:type="continuationSeparator" w:id="17">
    <w:p/>
  </w:footnote>
  <w:footnote w:id="0">
    <w:p>
      <w:pPr>
        <w:pStyle w:val="7"/>
      </w:pPr>
      <w:r>
        <w:rPr>
          <w:rStyle w:val="12"/>
        </w:rPr>
        <w:footnoteRef/>
      </w:r>
      <w:r>
        <w:t xml:space="preserve"> 资料统计口径：当年1月1日至</w:t>
      </w:r>
      <w:r>
        <w:rPr>
          <w:rFonts w:hint="eastAsia"/>
        </w:rPr>
        <w:t>12月15日</w:t>
      </w:r>
      <w:r>
        <w:t>。</w:t>
      </w:r>
    </w:p>
  </w:footnote>
  <w:footnote w:id="1">
    <w:p>
      <w:pPr>
        <w:pStyle w:val="7"/>
      </w:pPr>
      <w:r>
        <w:rPr>
          <w:rStyle w:val="12"/>
        </w:rPr>
        <w:footnoteRef/>
      </w:r>
      <w:r>
        <w:t xml:space="preserve"> 重点：依据年度全国基层卫生健康工作会议精神</w:t>
      </w:r>
      <w:r>
        <w:rPr>
          <w:rFonts w:hint="eastAsia"/>
        </w:rPr>
        <w:t>。</w:t>
      </w:r>
      <w:r>
        <w:t>难点：</w:t>
      </w:r>
      <w:r>
        <w:rPr>
          <w:rFonts w:hint="eastAsia"/>
        </w:rPr>
        <w:t>指</w:t>
      </w:r>
      <w:r>
        <w:t>基层卫生健康发展中的关键问题，包括人事编制</w:t>
      </w:r>
      <w:r>
        <w:rPr>
          <w:rFonts w:hint="eastAsia"/>
        </w:rPr>
        <w:t>、医保政策</w:t>
      </w:r>
      <w:r>
        <w:t>、设施设备、基本建设、薪酬分配等。</w:t>
      </w:r>
    </w:p>
  </w:footnote>
  <w:footnote w:id="2">
    <w:p>
      <w:pPr>
        <w:pStyle w:val="8"/>
        <w:snapToGrid w:val="0"/>
        <w:jc w:val="left"/>
        <w:rPr>
          <w:sz w:val="18"/>
          <w:szCs w:val="18"/>
        </w:rPr>
      </w:pPr>
      <w:r>
        <w:rPr>
          <w:rStyle w:val="12"/>
          <w:sz w:val="18"/>
          <w:szCs w:val="18"/>
          <w:lang w:bidi="ar"/>
        </w:rPr>
        <w:footnoteRef/>
      </w:r>
      <w:r>
        <w:rPr>
          <w:sz w:val="18"/>
          <w:szCs w:val="18"/>
          <w:lang w:bidi="ar"/>
        </w:rPr>
        <w:t xml:space="preserve"> </w:t>
      </w:r>
      <w:r>
        <w:rPr>
          <w:rFonts w:hint="eastAsia"/>
          <w:sz w:val="18"/>
          <w:szCs w:val="18"/>
          <w:lang w:bidi="ar"/>
        </w:rPr>
        <w:t>变化幅度：与上年度相比增加或减少的百分点，例：比例从</w:t>
      </w:r>
      <w:r>
        <w:rPr>
          <w:sz w:val="18"/>
          <w:szCs w:val="18"/>
          <w:lang w:bidi="ar"/>
        </w:rPr>
        <w:t>10%</w:t>
      </w:r>
      <w:r>
        <w:rPr>
          <w:rFonts w:hint="eastAsia"/>
          <w:sz w:val="18"/>
          <w:szCs w:val="18"/>
          <w:lang w:bidi="ar"/>
        </w:rPr>
        <w:t>增加至</w:t>
      </w:r>
      <w:r>
        <w:rPr>
          <w:sz w:val="18"/>
          <w:szCs w:val="18"/>
          <w:lang w:bidi="ar"/>
        </w:rPr>
        <w:t>20%</w:t>
      </w:r>
      <w:r>
        <w:rPr>
          <w:rFonts w:hint="eastAsia"/>
          <w:sz w:val="18"/>
          <w:szCs w:val="18"/>
          <w:lang w:bidi="ar"/>
        </w:rPr>
        <w:t>，增幅为</w:t>
      </w:r>
      <w:r>
        <w:rPr>
          <w:sz w:val="18"/>
          <w:szCs w:val="18"/>
          <w:lang w:bidi="ar"/>
        </w:rPr>
        <w:t>+10%</w:t>
      </w:r>
      <w:r>
        <w:rPr>
          <w:rFonts w:hint="eastAsia"/>
          <w:sz w:val="18"/>
          <w:szCs w:val="18"/>
          <w:lang w:bidi="ar"/>
        </w:rPr>
        <w:t>。</w:t>
      </w:r>
    </w:p>
  </w:footnote>
  <w:footnote w:id="3">
    <w:p>
      <w:pPr>
        <w:pStyle w:val="7"/>
      </w:pPr>
      <w:r>
        <w:rPr>
          <w:rStyle w:val="12"/>
        </w:rPr>
        <w:footnoteRef/>
      </w:r>
      <w:r>
        <w:t xml:space="preserve"> </w:t>
      </w:r>
      <w:r>
        <w:rPr>
          <w:rFonts w:hint="eastAsia"/>
        </w:rPr>
        <w:t>比例=0或增幅</w:t>
      </w:r>
      <w:r>
        <w:rPr>
          <w:rFonts w:hint="eastAsia" w:ascii="宋体" w:hAnsi="宋体"/>
          <w:lang w:bidi="ar"/>
        </w:rPr>
        <w:t>≤</w:t>
      </w:r>
      <w:r>
        <w:rPr>
          <w:lang w:bidi="ar"/>
        </w:rPr>
        <w:t>0</w:t>
      </w:r>
      <w:r>
        <w:rPr>
          <w:rFonts w:hint="eastAsia"/>
          <w:lang w:bidi="ar"/>
        </w:rPr>
        <w:t>的地区参与排序，但不得分。</w:t>
      </w:r>
    </w:p>
  </w:footnote>
  <w:footnote w:id="4">
    <w:p>
      <w:pPr>
        <w:pStyle w:val="8"/>
        <w:snapToGrid w:val="0"/>
        <w:jc w:val="left"/>
        <w:rPr>
          <w:sz w:val="18"/>
          <w:szCs w:val="18"/>
        </w:rPr>
      </w:pPr>
      <w:r>
        <w:rPr>
          <w:rStyle w:val="12"/>
          <w:sz w:val="18"/>
          <w:szCs w:val="18"/>
          <w:lang w:bidi="ar"/>
        </w:rPr>
        <w:footnoteRef/>
      </w:r>
      <w:r>
        <w:rPr>
          <w:sz w:val="18"/>
          <w:szCs w:val="18"/>
          <w:lang w:bidi="ar"/>
        </w:rPr>
        <w:t xml:space="preserve"> </w:t>
      </w:r>
      <w:r>
        <w:rPr>
          <w:rFonts w:hint="eastAsia"/>
          <w:sz w:val="18"/>
          <w:szCs w:val="18"/>
          <w:lang w:bidi="ar"/>
        </w:rPr>
        <w:t>服务能力标准：指《乡镇卫生院服务能力标准》和《社区卫生服务中心服务能力标准》，包括基本标准和推荐标准。</w:t>
      </w:r>
    </w:p>
  </w:footnote>
  <w:footnote w:id="5">
    <w:p>
      <w:pPr>
        <w:pStyle w:val="8"/>
        <w:snapToGrid w:val="0"/>
        <w:jc w:val="left"/>
        <w:rPr>
          <w:sz w:val="18"/>
          <w:szCs w:val="18"/>
        </w:rPr>
      </w:pPr>
      <w:r>
        <w:rPr>
          <w:rStyle w:val="12"/>
          <w:sz w:val="18"/>
          <w:szCs w:val="18"/>
          <w:lang w:bidi="ar"/>
        </w:rPr>
        <w:footnoteRef/>
      </w:r>
      <w:r>
        <w:rPr>
          <w:sz w:val="18"/>
          <w:szCs w:val="18"/>
          <w:lang w:bidi="ar"/>
        </w:rPr>
        <w:t xml:space="preserve"> </w:t>
      </w:r>
      <w:r>
        <w:rPr>
          <w:rFonts w:hint="eastAsia" w:cs="宋体"/>
          <w:sz w:val="18"/>
          <w:szCs w:val="18"/>
          <w:lang w:bidi="ar"/>
        </w:rPr>
        <w:t>人均工资性收入：包括基本工资、绩效工资、津贴补贴、伙食补助、奖金。</w:t>
      </w:r>
    </w:p>
  </w:footnote>
  <w:footnote w:id="6">
    <w:p>
      <w:pPr>
        <w:pStyle w:val="8"/>
        <w:snapToGrid w:val="0"/>
        <w:jc w:val="left"/>
        <w:rPr>
          <w:sz w:val="18"/>
          <w:szCs w:val="18"/>
        </w:rPr>
      </w:pPr>
      <w:r>
        <w:rPr>
          <w:rStyle w:val="12"/>
          <w:sz w:val="18"/>
          <w:szCs w:val="18"/>
          <w:lang w:bidi="ar"/>
        </w:rPr>
        <w:footnoteRef/>
      </w:r>
      <w:r>
        <w:rPr>
          <w:sz w:val="18"/>
          <w:szCs w:val="18"/>
          <w:lang w:bidi="ar"/>
        </w:rPr>
        <w:t xml:space="preserve"> </w:t>
      </w:r>
      <w:r>
        <w:rPr>
          <w:rFonts w:hint="eastAsia"/>
          <w:sz w:val="18"/>
          <w:szCs w:val="18"/>
          <w:lang w:bidi="ar"/>
        </w:rPr>
        <w:t>县（区）级公立医院：</w:t>
      </w:r>
      <w:r>
        <w:rPr>
          <w:sz w:val="18"/>
          <w:szCs w:val="18"/>
          <w:lang w:bidi="ar"/>
        </w:rPr>
        <w:t>4</w:t>
      </w:r>
      <w:r>
        <w:rPr>
          <w:rFonts w:hint="eastAsia"/>
          <w:sz w:val="18"/>
          <w:szCs w:val="18"/>
          <w:lang w:bidi="ar"/>
        </w:rPr>
        <w:t>个直辖市的县（区）级公立医院指区属二级医疗机构和县级医院。</w:t>
      </w:r>
    </w:p>
  </w:footnote>
  <w:footnote w:id="7">
    <w:p>
      <w:pPr>
        <w:pStyle w:val="7"/>
        <w:rPr>
          <w:rFonts w:hint="eastAsia" w:eastAsia="宋体"/>
          <w:lang w:val="en-US" w:eastAsia="zh-CN"/>
        </w:rPr>
      </w:pPr>
      <w:r>
        <w:rPr>
          <w:rStyle w:val="12"/>
        </w:rPr>
        <w:footnoteRef/>
      </w:r>
      <w:r>
        <w:t xml:space="preserve"> 综合评价</w:t>
      </w:r>
      <w:r>
        <w:rPr>
          <w:rFonts w:hint="eastAsia"/>
        </w:rPr>
        <w:t>：</w:t>
      </w:r>
      <w:r>
        <w:t>指对基层卫生健康工作进行总体评价，不包括对单项工作的评价。本级政府将基层卫生</w:t>
      </w:r>
      <w:r>
        <w:rPr>
          <w:rFonts w:hint="eastAsia"/>
        </w:rPr>
        <w:t>健康</w:t>
      </w:r>
      <w:r>
        <w:t>工作纳入评价内容，可</w:t>
      </w:r>
      <w:r>
        <w:rPr>
          <w:rFonts w:hint="eastAsia"/>
        </w:rPr>
        <w:t>视</w:t>
      </w:r>
      <w:r>
        <w:t>为综合评价</w:t>
      </w:r>
      <w:r>
        <w:rPr>
          <w:rFonts w:hint="eastAsia"/>
        </w:rPr>
        <w:t>。</w:t>
      </w:r>
      <w:r>
        <w:rPr>
          <w:rFonts w:hint="eastAsia"/>
          <w:lang w:val="en-US" w:eastAsia="zh-C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136E6"/>
    <w:multiLevelType w:val="singleLevel"/>
    <w:tmpl w:val="DF1136E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60"/>
  <w:displayHorizontalDrawingGridEvery w:val="0"/>
  <w:displayVerticalDrawingGridEvery w:val="2"/>
  <w:characterSpacingControl w:val="compressPunctuation"/>
  <w:hdrShapeDefaults>
    <o:shapelayout v:ext="edit">
      <o:idmap v:ext="edit" data="2"/>
    </o:shapelayout>
  </w:hdrShapeDefaults>
  <w:footnotePr>
    <w:footnote w:id="16"/>
    <w:footnote w:id="17"/>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6448E"/>
    <w:rsid w:val="1C976FDB"/>
    <w:rsid w:val="2FDE23C6"/>
    <w:rsid w:val="3EAB0813"/>
    <w:rsid w:val="5F7FB2D5"/>
    <w:rsid w:val="6EFF0FC6"/>
    <w:rsid w:val="6FFF227F"/>
    <w:rsid w:val="DD6DE2C2"/>
    <w:rsid w:val="DF4F5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First Indent 2"/>
    <w:basedOn w:val="3"/>
    <w:qFormat/>
    <w:uiPriority w:val="0"/>
    <w:pPr>
      <w:ind w:firstLine="210"/>
    </w:pPr>
    <w:rPr>
      <w:rFonts w:ascii="Calibri" w:hAnsi="Calibri"/>
      <w:kern w:val="2"/>
      <w:sz w:val="22"/>
      <w:szCs w:val="22"/>
    </w:rPr>
  </w:style>
  <w:style w:type="paragraph" w:styleId="3">
    <w:name w:val="Body Text Indent"/>
    <w:basedOn w:val="1"/>
    <w:qFormat/>
    <w:uiPriority w:val="0"/>
    <w:pPr>
      <w:widowControl/>
      <w:spacing w:after="120"/>
      <w:ind w:left="420" w:leftChars="200"/>
      <w:jc w:val="left"/>
    </w:pPr>
    <w:rPr>
      <w:rFonts w:ascii="宋体" w:hAnsi="Times New Roman"/>
      <w:kern w:val="0"/>
      <w:sz w:val="24"/>
    </w:rPr>
  </w:style>
  <w:style w:type="paragraph" w:styleId="4">
    <w:name w:val="endnote text"/>
    <w:basedOn w:val="1"/>
    <w:uiPriority w:val="0"/>
    <w:pPr>
      <w:snapToGrid w:val="0"/>
      <w:jc w:val="left"/>
    </w:pPr>
  </w:style>
  <w:style w:type="paragraph" w:styleId="5">
    <w:name w:val="footer"/>
    <w:basedOn w:val="1"/>
    <w:qFormat/>
    <w:uiPriority w:val="99"/>
    <w:pPr>
      <w:tabs>
        <w:tab w:val="center" w:pos="4153"/>
        <w:tab w:val="right" w:pos="8306"/>
      </w:tabs>
      <w:snapToGrid w:val="0"/>
      <w:jc w:val="left"/>
    </w:pPr>
    <w:rPr>
      <w:rFonts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rPr>
      <w:sz w:val="24"/>
    </w:rPr>
  </w:style>
  <w:style w:type="character" w:styleId="11">
    <w:name w:val="endnote reference"/>
    <w:basedOn w:val="10"/>
    <w:uiPriority w:val="0"/>
    <w:rPr>
      <w:vertAlign w:val="superscript"/>
    </w:rPr>
  </w:style>
  <w:style w:type="character" w:styleId="12">
    <w:name w:val="footnote reference"/>
    <w:unhideWhenUsed/>
    <w:qFormat/>
    <w:uiPriority w:val="99"/>
    <w:rPr>
      <w:vertAlign w:val="superscript"/>
    </w:rPr>
  </w:style>
  <w:style w:type="paragraph" w:customStyle="1" w:styleId="13">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571.666666666667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韩林力</cp:lastModifiedBy>
  <cp:lastPrinted>2023-09-21T09:13:26Z</cp:lastPrinted>
  <dcterms:modified xsi:type="dcterms:W3CDTF">2023-10-30T10:17:22Z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